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2025</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b w:val="0"/>
          <w:bCs w:val="0"/>
          <w:kern w:val="0"/>
          <w:sz w:val="36"/>
          <w:szCs w:val="36"/>
        </w:rPr>
        <w:t>项目名称：</w:t>
      </w:r>
      <w:r>
        <w:rPr>
          <w:rStyle w:val="18"/>
          <w:rFonts w:hint="eastAsia" w:ascii="楷体" w:hAnsi="楷体" w:eastAsia="楷体"/>
          <w:b w:val="0"/>
          <w:bCs w:val="0"/>
          <w:spacing w:val="-4"/>
          <w:sz w:val="32"/>
          <w:szCs w:val="32"/>
        </w:rPr>
        <w:t>自治区党委集中办公区后勤服务保障运行经费</w:t>
      </w:r>
    </w:p>
    <w:p>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新疆维吾尔自治区区直机关后勤事务保障中心</w:t>
      </w:r>
    </w:p>
    <w:p>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新疆维吾尔自治区区直机关后勤事务保障中心</w:t>
      </w:r>
    </w:p>
    <w:p>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邓永志</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2026年03月13日</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(一)项目概况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自治区党委集中办公区后勤服务保障运行经费实施主体为自治区区直机关后勤事务保障中心，主要内容为：按照2023年11月12日自治区党委召开的2024年自治区党委集中办公区后勤保障经费专题会议精神，结合2025年党委集中办公区后勤服务保障实际情况，经与自治区党委集中办公区10家预算单位协商一致，同意划转经费至自治区区直机关后勤事务保障中心。由自治区区直机关后勤事务保障中心负责承担党委集中办公区后勤事务的物业管理、会议服务等后勤服务的集中统一管理，推进后勤服务保障科学化和规范化发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1.项目背景及立项依据</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（1）项目背景</w:t>
      </w:r>
      <w:r>
        <w:rPr>
          <w:rStyle w:val="18"/>
          <w:rFonts w:hint="eastAsia" w:ascii="仿宋_GB2312" w:hAnsi="仿宋_GB2312" w:eastAsia="仿宋_GB2312" w:cs="仿宋_GB2312"/>
          <w:b w:val="0"/>
          <w:bCs/>
          <w:spacing w:val="-4"/>
          <w:sz w:val="32"/>
          <w:szCs w:val="32"/>
          <w:lang w:eastAsia="zh-CN"/>
        </w:rPr>
        <w:t>。</w:t>
      </w:r>
      <w:r>
        <w:rPr>
          <w:rStyle w:val="18"/>
          <w:rFonts w:hint="eastAsia" w:ascii="仿宋_GB2312" w:hAnsi="仿宋_GB2312" w:eastAsia="仿宋_GB2312" w:cs="仿宋_GB2312"/>
          <w:b w:val="0"/>
          <w:bCs/>
          <w:spacing w:val="-4"/>
          <w:sz w:val="32"/>
          <w:szCs w:val="32"/>
        </w:rPr>
        <w:t>自治区区直机关后勤事务保障中心是自治区机关事务管理局下属全额拨款事业单位，其职能包括承担自治区区直机关后勤服务集中服务保障等工作。按照2023年11月12日自治区党委召开的2024年自治区党委集中办公区后勤保障经费专题会议精神，结合2025年党委集中办公区后勤服务保障实际情况，经与自治区党委集中办公区10家预算单位协商一致，同意划转经费至自治区区直机关后勤事务保障中心。由自治区区直机关后勤事务保障中心负责承担党委集中办公区后勤事务的物业管理、会议服务等后勤服保障的集中统一管理，推进后勤服务保障科学化和规范化发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（2）立项依据</w:t>
      </w:r>
      <w:r>
        <w:rPr>
          <w:rStyle w:val="18"/>
          <w:rFonts w:hint="eastAsia" w:ascii="仿宋_GB2312" w:hAnsi="仿宋_GB2312" w:eastAsia="仿宋_GB2312" w:cs="仿宋_GB2312"/>
          <w:b w:val="0"/>
          <w:bCs/>
          <w:spacing w:val="-4"/>
          <w:sz w:val="32"/>
          <w:szCs w:val="32"/>
          <w:lang w:eastAsia="zh-CN"/>
        </w:rPr>
        <w:t>。</w:t>
      </w:r>
      <w:r>
        <w:rPr>
          <w:rStyle w:val="18"/>
          <w:rFonts w:hint="eastAsia" w:ascii="仿宋_GB2312" w:hAnsi="仿宋_GB2312" w:eastAsia="仿宋_GB2312" w:cs="仿宋_GB2312"/>
          <w:b w:val="0"/>
          <w:bCs/>
          <w:spacing w:val="-4"/>
          <w:sz w:val="32"/>
          <w:szCs w:val="32"/>
        </w:rPr>
        <w:t>按照2023年11月12日自治区党委召开的2024年自治区党委集中办公区后勤保障经费专题会议精神，结合2025年党委集中办公区后勤服务保障实际情况，经与自治区党委集中办公区10家预算单位协商一致，同意划转经费至自治区区直机关后勤事务保障中心。</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项目主要内容及实施情况：该项目实施前，按照自治区机关事务管理局、自治区财政厅工作要求，由自治区区直机关后勤事务保障中心对项目进行了充分调研，并制定了项目实施方案，项目实施过程中严格按照实施方案进行实施并及时进行监督管理，项目实施后对产生项目效益进行反馈，评价财政预算资金使用的效率及效益</w:t>
      </w:r>
      <w:r>
        <w:rPr>
          <w:rStyle w:val="18"/>
          <w:rFonts w:hint="eastAsia" w:ascii="仿宋_GB2312" w:hAnsi="仿宋_GB2312" w:eastAsia="仿宋_GB2312" w:cs="仿宋_GB2312"/>
          <w:b w:val="0"/>
          <w:bCs/>
          <w:spacing w:val="-4"/>
          <w:sz w:val="32"/>
          <w:szCs w:val="32"/>
          <w:lang w:eastAsia="zh-CN"/>
        </w:rPr>
        <w:t>。</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项目负责人为自治区区直机关后勤事务保障中心负责人杨帅，主要职责为负责自治区党委集中办公区后勤服务保障运行经费的申报、实施、监督、资金报账等环节的工作。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(二)资金投入和使用情况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本项目总投资1141万元，资金来源为自治区专项资金1656.73万元。</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自治区党委集中办公区后勤服务保障运行经费的使用范围：专项用于自治区党委集中办公区后勤事务的物业管理、会议服务等后勤保障的集中统一管理。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自治区区直机关后勤事务保障中心制定了项目专项资金管理办法，按照资金管理办法对本项目资金进行专款专用：</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1.资金的到位情况：自治区党委集中办公区后勤服务保障运行经费实际到位1656.73万元。</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资金的使用制度：根据《自治区机关事务管理局财务管理办法》及《自治区区直机关后勤事务保障中心财务管理办法》，为切实规范专项资金管理，保障资金安全，高效运行，发挥资金使用效益，防止国有资产流失，对专项资金实行“专人管理、专账核算、专项使用”；严格专项资金审批制，以该专项资金财政预算所列内容和文件要求为准，严格按照单位的资金批复制度和报销流程及项目签订的合同付款约定进行上会研究同意后方可支付，专项资金报账拨付要附真实、有效、合法的凭证。</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950" w:leftChars="304" w:hanging="312" w:hangingChars="1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自治区党委集中办公区后勤服务保障运行经费为：通承担党委集中办公区后勤事务的物业管理、会议服务等后勤保障的集中统一管理，推进后勤服务保障科学化和规范化发展，提升后勤服务保障质效，初步实现了节约高效的改革目标。本项目不包含阶段性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（一）绩效评价目的、对象和范围。</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1.评价目的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次绩效评价遵循财政部《项目支出绩效评价管理办法》（财预〔2020〕10号）和自治区财政厅《自治区财政支出绩效评价管理暂行办法》（新财预〔2018〕189号）等相关政策文件与规定，旨在评价自治区党委集中办公区后勤服务保障运行经费实施前期、过程及效果，评价财政预算资金使用的效率及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评价从自治区党委集中办公区后勤服务保障运行经费产生的效果角度出发，力求从绩效的角度发现2025年度自治区党委集中办公区后勤服务保障运行经费中取得的成绩和产生的问题，从而进一步规范自治区区直机关后勤事务保障中心财政资金绩效管理工作，确保项目资金安全、高效使用，达到项目实施的预期目标，不断增强财务管理水平，助推各项工作规范化、标准化、高效化进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（1）通过评价,了解2025年度自治区党委集中办公区后勤服务保障运行经费的基本情况对项目背景和目的、项目内容和现状、项目预算做深入调研和分析。</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（2）通过评价,了解2025年度自治区党委集中办公区后勤服务保障运行经费的产出和效果情况,及整体绩效状况。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（3）通过评价,发掘2025年度自治区党委集中办公区后勤服务保障运行经费所产生的现实意义和实际价值。</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通过评价,从绩效的角度发现该项目在决策、实施和管理过程中存在的问题,寻求解决方案,为进一步深化项目管理工作提供依据,以促进自治区区直机关后勤事务保障中心财政资金绩效管理工作，确保项目资金安全、高效使用。</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(二)本次绩效评价的对象及范围</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本次评价对象为2025年度自治区党委集中办公区后勤服务保障运行经费资金，评价范围包括专项资金的安排、组织及使用效益。</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(三)绩效评价原则</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本次绩效评价遵循的原则包括：</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2808" w:firstLineChars="9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科学公正。绩效评价应当运用科学合理的方法，按照规范的程序，对项目绩效进行客观、公正的反映。</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 xml:space="preserve"> 4.公开透明。绩效评价结果应依法依规公开，并自觉接受社会监督。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（四）绩效评价体系</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根据以上原则,绩效评价应遵循如下要求:</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（2）保证评价结果的真实性、公正性,提高评价报告的公信力。</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（3）绩教评价报告应当简明扼要,除了对绩效评价的过程、结果描述外,还应总结经验,指出问题,并就共性问题提出可操作性改进建议。</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遵循“科学性、规范性、客观性和公正性”的绩效评价原则,根据财政部制定的《项目支出绩效评价共性指标体系框架》,结合2025年度自治区党委集中办公区后勤服务保障运行经费特性自治区区直机关后勤事务保障中心的实际情况,本项目按照财预﹝2020﹞10号文件制定评价指标体系。</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我单位选取共性指标：决策中一级指标1个，二级指标1个，三级指标2个，分别是绩效目标合理性、绩效指标明确性。</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w:t>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过程中一级指标1个，二级指标1个，三级指标3个，分别是资金到位率、预算执行率、资金使用合规性。我单位选取个性指标：效益中一级指标1个，二级指标1个，三级指标1个，分别为项目效益。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1.项目立项：立项依据充分性，项目立项符合法律法规、相关政策、发展规划以及部门职责，用以反映和考核项目立项依据情况。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2.绩效目标：绩效目标合理明确,目标依据充分符合客观实际。</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3.预算执行:资金到位率、预算完成率,单位本年度预算完成数与预算数的比率。项目预算资金按照计划执行，用以反映或考核项目预算执行情况。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组织实施:管理制度健全性,单位为加强预算管理、规范财务行为而制定的管理制度是否健全完整。预决算信息公开,单位是否按照政府信息公开的有关规定公开相498.5万元、劳务费651.39万元，委托业务费506.84万元，于2025年12月31日完成所有保障运行经费支付工作，该项目财政拨付1656.73万元，实际支付1656.73万元，实际完成率100%。</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5.项目实施所产生的效益：自治区党委集中办公区后勤服务保障运行经费用于保障党委集中办公区物业管理、会议服务等后勤服务保障，有效推进了自治区后勤服务保障科学化和规范化发展，进一步提升了后勤服务保障质效，初步实现了节约高效的改革目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（五）绩效评价方法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本次绩效评价方法的选用坚持简便有效的原则采用成本效益分析法。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1.评价方法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成本效益法:又称投入产出法,是将一定时期内的支出所产生的效益与付出的成本进行对比分析,从而评价绩效的方法。该方法适用于成本和收益都能准确计量的财政支出评价，一般情况下，以社会效益为主的支出项目不宜采用此方法。</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（六）评价标准。项目评价标准采用计划标准。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 xml:space="preserve"> 1.计划标准:以事先制定的目标、计划、预算、定额等预计数据作为评价财政支出绩效的标准。通过将实际完成值与预定数据进行对比,发现差异并达到评价目的。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 （1）本次评价成立了评价工作组，成员如下：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杨帅任评价组组长（自治区区直机关后勤事务保障中心党委书记、副主任）</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邓永志任评价组副组长（自治区区直机关后勤事务保障中心副主任）</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范颖菊任评价组成员（自治区区直机关后勤事务保障中心财务部部长）邹珍任评价组成员（自治区区直机关后勤事务保障中心会计）</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本次评价设计了评价方案、评价指标体系，通过资料分析、调研、访谈满意度调查等方式形成评价结论，在与项目单位沟通后确定评价意见，并出具评价报告。　</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（2）数据采集方法及过程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本次绩效评价数据包括定性和定量两种数据,定性数据主要通过实地考察、问卷调研等社会调查的方式来采集。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w:t>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定量数据的采集主要通过被评价单位填报数据和实地采集数据相结合的方式,形成数据采集两条线,有效保证数据的真实性和可靠性,此外,我们会对所有数据进行全面审核和复核,并对重要数据进行实地采集。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2.绩效评价实施过程</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组在前期调研的基础上,完成了项目绩效评价工作方案,明确了评价的目的、方法、指标体系、评价标准、合规性检查方案、访谈方案等。在此之后,项目组严格按照工作方案,经过了数据采集、问卷调查和报告撰写等环节,顺利完成了绩效评价工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（1）问卷调查</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 2026年4月7日-2026年4月8日,项目组对自治区党委集中办公区后勤服务保障运行经费涉及服务对象进行问卷调查。共发放20份问卷,回收20份问卷,其中有效问卷为20份,有效问卷为100%，通过问卷录入、分析、整理后，形成社会调查满意度报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 xml:space="preserve"> （2）数据分析及撰写报告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2026年4月9日-2026年4月10日,项目组根据绩效评价的原理和规范,对采集的数据进行甄别、分析和评分,并提炼结论撰写报告，在规定时间内上报委托方,由委托方组织相关专家对报告进行评审。</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经评价组通过实地调研、资料分析等方式，采用成本效益分析法对项目的决策、管理、绩效进行的综合评价分析，项目得分为100分，评价结果为优。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z w:val="32"/>
          <w:szCs w:val="32"/>
        </w:rPr>
      </w:pPr>
      <w:r>
        <w:rPr>
          <w:rStyle w:val="18"/>
          <w:rFonts w:hint="eastAsia" w:ascii="黑体" w:hAnsi="黑体" w:eastAsia="黑体" w:cs="黑体"/>
          <w:b w:val="0"/>
          <w:bCs/>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 本项目的立项符合相关法规政策及部门职责，依据充分；项目按照规定的程序申请设立；审批文件、材料符合相关要求；项目前期已经过必要的可行性研究、绩效评估、集体决策。</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项目在资金投入方面，预算编制经过科学论证、有明确标准，资金额度与年度目标相适应，用以反映和考核项目预算编制的科学性、合理性情况。项目预算资金分配有测算依据，与补助单位或地方实际相适应。</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在项目资金管理方面，项目资金到位足额及时，及时支付，资金使用符合国家法规和财务管理制度；资金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在项目组织实施方面，项目单位已制定或具有相应的财务和业务管理制度，财务和业务管理制度合法、合规、完整。项目实施遵守相关法律法规和相关管理规定。项目立项等资料齐全并及时归档，项目实施的人员条件、场地设备、信息支撑等落实到位。</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产出数量：服务预算单位个数（个），预期指标值为=10个，实际完成值为10个，指标基本达到预期目标；服务人数（人），预期指标为&gt;=1658人，实际完成值为1658人，指标达到预期目标；服务保障达标率（%），预期指标值为&gt;=95%，实际完成值95%，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lang w:eastAsia="zh-CN"/>
        </w:rPr>
      </w:pPr>
      <w:r>
        <w:rPr>
          <w:rStyle w:val="18"/>
          <w:rFonts w:hint="eastAsia" w:ascii="仿宋_GB2312" w:hAnsi="仿宋_GB2312" w:eastAsia="仿宋_GB2312" w:cs="仿宋_GB2312"/>
          <w:b w:val="0"/>
          <w:bCs/>
          <w:spacing w:val="-4"/>
          <w:sz w:val="32"/>
          <w:szCs w:val="32"/>
        </w:rPr>
        <w:t>项目质量：服务保障达标率（%），预期指标值为&gt;=95%，实际完成值95%，指标达到预期目标；</w:t>
      </w:r>
      <w:r>
        <w:rPr>
          <w:rStyle w:val="18"/>
          <w:rFonts w:hint="eastAsia" w:ascii="仿宋_GB2312" w:hAnsi="仿宋_GB2312" w:eastAsia="仿宋_GB2312" w:cs="仿宋_GB2312"/>
          <w:b w:val="0"/>
          <w:bCs/>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项目时效：服务保障按计划完成率（%），预期指标值为=100%，实际完成值100%，指标达到预期目标。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经济成本指标：后勤服务保障成本（万元），预期指标值为＜=1656.73万元，实际完成值1656.73万元，指标达到预期目标。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社会效益指标：推进后勤服务保障科学化和规范化发展，预期指标值为有效推进，实际完成值为达到预期目标。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满意度指标：集中办公区预算单位满意度（%），预期指标值为&gt;=90%，实际完成值98.7%，指标达到预期目标；集中办公区干部职工满意度（%），预期指标值为&gt;=90%，实际完成值98.7%，指标达到预期目标。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w:t>
      </w:r>
      <w:r>
        <w:rPr>
          <w:rStyle w:val="18"/>
          <w:rFonts w:hint="eastAsia" w:ascii="仿宋_GB2312" w:hAnsi="仿宋_GB2312" w:eastAsia="仿宋_GB2312" w:cs="仿宋_GB2312"/>
          <w:b w:val="0"/>
          <w:bCs/>
          <w:spacing w:val="-4"/>
          <w:sz w:val="32"/>
          <w:szCs w:val="32"/>
        </w:rPr>
        <w:t>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是项目资金支出实行先审批再使用制度。二是规范报销凭证审核，按照自治区机关事务管理局财务管理办法等有关制度审核，要求报销凭证真实、合规、完整，审批手续齐全，严格按照相关程序执行。三是合理设置岗位，明确相关职责权限。四是要求项目责任处室实行专人负责制。五是严格遵守“专款专用”原则，按照项目资金文件、绩效目标使用项目资金，确保项目资金有效实施。</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通过项目自评，该专项资金确保能够专款专用，但绩效考核评价标准单一，绩效目标指标设置笼统，不够细化，缺乏有效的绩效辅导，对于绩效考核的深层次理解和认识有待进一步提高。原因是对绩效考核目标认识不明确，使绩效考核不能达到很好的效果。 </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是专业知识掌握不到位，预算编制过程中资金执行在绩效目标指标对设置方面还过于笼统，不够细化，在实际实施绩效监控和绩效评价时较为困难。二是项目资金使用科室履行项目资金预算执行主体责任不到位，在抓好项目资金预算执行方面未达到相关要求。</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是建议完善预算安排与支出进度挂钩机制，提高预算执行效率。二是建议项目责任处室要履行好项目资金预算管理的主体责任，紧盯预算执行过程、重点关注项目资金支出绩效。三是建议完善预算控制机制，进一步强化预算约束。</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仿宋" w:hAnsi="仿宋" w:eastAsia="仿宋"/>
          <w:b w:val="0"/>
          <w:spacing w:val="-4"/>
          <w:sz w:val="32"/>
          <w:szCs w:val="32"/>
        </w:rPr>
      </w:pPr>
      <w:r>
        <w:rPr>
          <w:rStyle w:val="18"/>
          <w:rFonts w:hint="eastAsia" w:ascii="仿宋_GB2312" w:hAnsi="仿宋_GB2312" w:eastAsia="仿宋_GB2312" w:cs="仿宋_GB2312"/>
          <w:b w:val="0"/>
          <w:bCs/>
          <w:spacing w:val="-4"/>
          <w:sz w:val="32"/>
          <w:szCs w:val="32"/>
        </w:rPr>
        <w:t>无其他需要说明的问题。</w:t>
      </w:r>
      <w:bookmarkStart w:id="0" w:name="_GoBack"/>
      <w:bookmarkEnd w:id="0"/>
    </w:p>
    <w:p>
      <w:pPr>
        <w:spacing w:line="540" w:lineRule="exact"/>
        <w:ind w:firstLine="567"/>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汉仪中宋简">
    <w:panose1 w:val="02010600000101010101"/>
    <w:charset w:val="86"/>
    <w:family w:val="auto"/>
    <w:pitch w:val="default"/>
    <w:sig w:usb0="00000001" w:usb1="080E0800" w:usb2="00000002" w:usb3="00000000" w:csb0="00040000" w:csb1="0000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 w:name="方正宋体S-超大字符集">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5B5A66"/>
    <w:multiLevelType w:val="singleLevel"/>
    <w:tmpl w:val="7D5B5A6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5FB1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7</TotalTime>
  <ScaleCrop>false</ScaleCrop>
  <LinksUpToDate>false</LinksUpToDate>
  <CharactersWithSpaces>760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2026-08-17T11:32:15Z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160D1BA1944349B08C48068401F6E698</vt:lpwstr>
  </property>
</Properties>
</file>