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061" w:rsidRDefault="00916061" w:rsidP="00916061">
      <w:pPr>
        <w:pStyle w:val="a3"/>
        <w:spacing w:before="450" w:beforeAutospacing="0" w:after="450" w:afterAutospacing="0" w:line="360" w:lineRule="atLeast"/>
        <w:rPr>
          <w:rFonts w:ascii="Simsun" w:hAnsi="Simsun"/>
          <w:color w:val="000000"/>
          <w:sz w:val="18"/>
          <w:szCs w:val="18"/>
        </w:rPr>
      </w:pPr>
      <w:r>
        <w:rPr>
          <w:rFonts w:ascii="Simsun" w:hAnsi="Simsun"/>
          <w:color w:val="000000"/>
          <w:sz w:val="18"/>
          <w:szCs w:val="18"/>
        </w:rPr>
        <w:t>自治区党政机关事业单位工作人员差旅费管理办法</w:t>
      </w:r>
    </w:p>
    <w:p w:rsidR="00916061" w:rsidRDefault="00916061" w:rsidP="00916061">
      <w:pPr>
        <w:pStyle w:val="a3"/>
        <w:spacing w:before="450" w:beforeAutospacing="0" w:after="450" w:afterAutospacing="0" w:line="360" w:lineRule="atLeast"/>
        <w:rPr>
          <w:rFonts w:ascii="Simsun" w:hAnsi="Simsun"/>
          <w:color w:val="000000"/>
          <w:sz w:val="18"/>
          <w:szCs w:val="18"/>
        </w:rPr>
      </w:pPr>
      <w:r>
        <w:rPr>
          <w:rFonts w:ascii="Simsun" w:hAnsi="Simsun"/>
          <w:color w:val="000000"/>
          <w:sz w:val="18"/>
          <w:szCs w:val="18"/>
        </w:rPr>
        <w:br/>
      </w:r>
      <w:r>
        <w:rPr>
          <w:rFonts w:ascii="Simsun" w:hAnsi="Simsun"/>
          <w:color w:val="000000"/>
          <w:sz w:val="18"/>
          <w:szCs w:val="18"/>
        </w:rPr>
        <w:t>第一章</w:t>
      </w:r>
      <w:r>
        <w:rPr>
          <w:rFonts w:ascii="Simsun" w:hAnsi="Simsun"/>
          <w:color w:val="000000"/>
          <w:sz w:val="18"/>
          <w:szCs w:val="18"/>
        </w:rPr>
        <w:t xml:space="preserve"> </w:t>
      </w:r>
      <w:r>
        <w:rPr>
          <w:rFonts w:ascii="Simsun" w:hAnsi="Simsun"/>
          <w:color w:val="000000"/>
          <w:sz w:val="18"/>
          <w:szCs w:val="18"/>
        </w:rPr>
        <w:t>总</w:t>
      </w:r>
      <w:r>
        <w:rPr>
          <w:rFonts w:ascii="Simsun" w:hAnsi="Simsun"/>
          <w:color w:val="000000"/>
          <w:sz w:val="18"/>
          <w:szCs w:val="18"/>
        </w:rPr>
        <w:t xml:space="preserve">  </w:t>
      </w:r>
      <w:r>
        <w:rPr>
          <w:rFonts w:ascii="Simsun" w:hAnsi="Simsun"/>
          <w:color w:val="000000"/>
          <w:sz w:val="18"/>
          <w:szCs w:val="18"/>
        </w:rPr>
        <w:t>则</w:t>
      </w:r>
      <w:r>
        <w:rPr>
          <w:rFonts w:ascii="Simsun" w:hAnsi="Simsun"/>
          <w:color w:val="000000"/>
          <w:sz w:val="18"/>
          <w:szCs w:val="18"/>
        </w:rPr>
        <w:br/>
      </w:r>
      <w:r>
        <w:rPr>
          <w:rFonts w:ascii="Simsun" w:hAnsi="Simsun"/>
          <w:color w:val="000000"/>
          <w:sz w:val="18"/>
          <w:szCs w:val="18"/>
        </w:rPr>
        <w:t>第一条</w:t>
      </w:r>
      <w:r>
        <w:rPr>
          <w:rFonts w:ascii="Simsun" w:hAnsi="Simsun"/>
          <w:color w:val="000000"/>
          <w:sz w:val="18"/>
          <w:szCs w:val="18"/>
        </w:rPr>
        <w:t xml:space="preserve"> </w:t>
      </w:r>
      <w:r>
        <w:rPr>
          <w:rFonts w:ascii="Simsun" w:hAnsi="Simsun"/>
          <w:color w:val="000000"/>
          <w:sz w:val="18"/>
          <w:szCs w:val="18"/>
        </w:rPr>
        <w:t>为加强和规范自治区党政机关和事业单位工作人员差旅费管理，根据中央《党政机关厉行节约反对浪费条例》、《中央和国家机关差旅费管理办法》，本着实事求是、勤俭节约、规范管理、便捷高效的原则，特制定本办法。</w:t>
      </w:r>
      <w:r>
        <w:rPr>
          <w:rFonts w:ascii="Simsun" w:hAnsi="Simsun"/>
          <w:color w:val="000000"/>
          <w:sz w:val="18"/>
          <w:szCs w:val="18"/>
        </w:rPr>
        <w:br/>
      </w:r>
      <w:r>
        <w:rPr>
          <w:rFonts w:ascii="Simsun" w:hAnsi="Simsun"/>
          <w:color w:val="000000"/>
          <w:sz w:val="18"/>
          <w:szCs w:val="18"/>
        </w:rPr>
        <w:t>第二条</w:t>
      </w:r>
      <w:r>
        <w:rPr>
          <w:rFonts w:ascii="Simsun" w:hAnsi="Simsun"/>
          <w:color w:val="000000"/>
          <w:sz w:val="18"/>
          <w:szCs w:val="18"/>
        </w:rPr>
        <w:t xml:space="preserve"> </w:t>
      </w:r>
      <w:r>
        <w:rPr>
          <w:rFonts w:ascii="Simsun" w:hAnsi="Simsun"/>
          <w:color w:val="000000"/>
          <w:sz w:val="18"/>
          <w:szCs w:val="18"/>
        </w:rPr>
        <w:t>本办法适用于自治区党政机关和事业单位（以下简称</w:t>
      </w:r>
      <w:r>
        <w:rPr>
          <w:rFonts w:ascii="Simsun" w:hAnsi="Simsun"/>
          <w:color w:val="000000"/>
          <w:sz w:val="18"/>
          <w:szCs w:val="18"/>
        </w:rPr>
        <w:t>“</w:t>
      </w:r>
      <w:r>
        <w:rPr>
          <w:rFonts w:ascii="Simsun" w:hAnsi="Simsun"/>
          <w:color w:val="000000"/>
          <w:sz w:val="18"/>
          <w:szCs w:val="18"/>
        </w:rPr>
        <w:t>各单位</w:t>
      </w:r>
      <w:r>
        <w:rPr>
          <w:rFonts w:ascii="Simsun" w:hAnsi="Simsun"/>
          <w:color w:val="000000"/>
          <w:sz w:val="18"/>
          <w:szCs w:val="18"/>
        </w:rPr>
        <w:t>”</w:t>
      </w:r>
      <w:r>
        <w:rPr>
          <w:rFonts w:ascii="Simsun" w:hAnsi="Simsun"/>
          <w:color w:val="000000"/>
          <w:sz w:val="18"/>
          <w:szCs w:val="18"/>
        </w:rPr>
        <w:t>）。</w:t>
      </w:r>
      <w:r>
        <w:rPr>
          <w:rFonts w:ascii="Simsun" w:hAnsi="Simsun"/>
          <w:color w:val="000000"/>
          <w:sz w:val="18"/>
          <w:szCs w:val="18"/>
        </w:rPr>
        <w:br/>
      </w:r>
      <w:r>
        <w:rPr>
          <w:rFonts w:ascii="Simsun" w:hAnsi="Simsun"/>
          <w:color w:val="000000"/>
          <w:sz w:val="18"/>
          <w:szCs w:val="18"/>
        </w:rPr>
        <w:t>本办法所称党政机关是指自治区党委各部门，人民政府各委办厅局、各直属机构，自治区人大常委会办公厅，自治区政协办公厅，自治区高级人民法院，自治区高级人民检察院，自治区各人民团体、民主党派和工商联。</w:t>
      </w:r>
      <w:r>
        <w:rPr>
          <w:rFonts w:ascii="Simsun" w:hAnsi="Simsun"/>
          <w:color w:val="000000"/>
          <w:sz w:val="18"/>
          <w:szCs w:val="18"/>
        </w:rPr>
        <w:br/>
      </w:r>
      <w:r>
        <w:rPr>
          <w:rFonts w:ascii="Simsun" w:hAnsi="Simsun"/>
          <w:color w:val="000000"/>
          <w:sz w:val="18"/>
          <w:szCs w:val="18"/>
        </w:rPr>
        <w:t>本办法所称事业单位是指参照公务员管理和非参照公务员管理的事业单位。</w:t>
      </w:r>
      <w:r>
        <w:rPr>
          <w:rFonts w:ascii="Simsun" w:hAnsi="Simsun"/>
          <w:color w:val="000000"/>
          <w:sz w:val="18"/>
          <w:szCs w:val="18"/>
        </w:rPr>
        <w:br/>
      </w:r>
      <w:r>
        <w:rPr>
          <w:rFonts w:ascii="Simsun" w:hAnsi="Simsun"/>
          <w:color w:val="000000"/>
          <w:sz w:val="18"/>
          <w:szCs w:val="18"/>
        </w:rPr>
        <w:t>第三条</w:t>
      </w:r>
      <w:r>
        <w:rPr>
          <w:rFonts w:ascii="Simsun" w:hAnsi="Simsun"/>
          <w:color w:val="000000"/>
          <w:sz w:val="18"/>
          <w:szCs w:val="18"/>
        </w:rPr>
        <w:t xml:space="preserve"> </w:t>
      </w:r>
      <w:r>
        <w:rPr>
          <w:rFonts w:ascii="Simsun" w:hAnsi="Simsun"/>
          <w:color w:val="000000"/>
          <w:sz w:val="18"/>
          <w:szCs w:val="18"/>
        </w:rPr>
        <w:t>差旅费是指工作人员临时到常驻地以外地区公务出差所发生的城市间交通费、住宿费、伙食补助费和市内交通费。城市间交通费和住宿费凭据报销，伙食补助费和市内交通费实行定额包干。</w:t>
      </w:r>
      <w:r>
        <w:rPr>
          <w:rFonts w:ascii="Simsun" w:hAnsi="Simsun"/>
          <w:color w:val="000000"/>
          <w:sz w:val="18"/>
          <w:szCs w:val="18"/>
        </w:rPr>
        <w:br/>
      </w:r>
      <w:r>
        <w:rPr>
          <w:rFonts w:ascii="Simsun" w:hAnsi="Simsun"/>
          <w:color w:val="000000"/>
          <w:sz w:val="18"/>
          <w:szCs w:val="18"/>
        </w:rPr>
        <w:t>第四条</w:t>
      </w:r>
      <w:r>
        <w:rPr>
          <w:rFonts w:ascii="Simsun" w:hAnsi="Simsun"/>
          <w:color w:val="000000"/>
          <w:sz w:val="18"/>
          <w:szCs w:val="18"/>
        </w:rPr>
        <w:t xml:space="preserve"> </w:t>
      </w:r>
      <w:r>
        <w:rPr>
          <w:rFonts w:ascii="Simsun" w:hAnsi="Simsun"/>
          <w:color w:val="000000"/>
          <w:sz w:val="18"/>
          <w:szCs w:val="18"/>
        </w:rPr>
        <w:t>根据中央差旅费制度改革的要求，差旅费中的住宿费、伙食补助费实行属地化管理原则，即工作人员赴外地出差期间，一律执行当地的住宿费、伙食补助费标准。</w:t>
      </w:r>
      <w:r>
        <w:rPr>
          <w:rFonts w:ascii="Simsun" w:hAnsi="Simsun"/>
          <w:color w:val="000000"/>
          <w:sz w:val="18"/>
          <w:szCs w:val="18"/>
        </w:rPr>
        <w:br/>
      </w:r>
      <w:r>
        <w:rPr>
          <w:rFonts w:ascii="Simsun" w:hAnsi="Simsun"/>
          <w:color w:val="000000"/>
          <w:sz w:val="18"/>
          <w:szCs w:val="18"/>
        </w:rPr>
        <w:t>第五条</w:t>
      </w:r>
      <w:r>
        <w:rPr>
          <w:rFonts w:ascii="Simsun" w:hAnsi="Simsun"/>
          <w:color w:val="000000"/>
          <w:sz w:val="18"/>
          <w:szCs w:val="18"/>
        </w:rPr>
        <w:t xml:space="preserve"> </w:t>
      </w:r>
      <w:r>
        <w:rPr>
          <w:rFonts w:ascii="Simsun" w:hAnsi="Simsun"/>
          <w:color w:val="000000"/>
          <w:sz w:val="18"/>
          <w:szCs w:val="18"/>
        </w:rPr>
        <w:t>各单位要根据中央八项规定及自治区十条规定，严格管理差旅费支出，严格建立健全出差审批制度。出差必须按规定报经单位负责人批准，从严控制出差人数和天数；严格差旅费预算管理，控制差旅费支出规模；严禁无实质内容、无明确公务目的的差旅活动；严禁以任何名义和方式变相旅游；严禁异地部门间无实质内容的学习交流和考察调研。</w:t>
      </w:r>
      <w:r>
        <w:rPr>
          <w:rFonts w:ascii="Simsun" w:hAnsi="Simsun"/>
          <w:color w:val="000000"/>
          <w:sz w:val="18"/>
          <w:szCs w:val="18"/>
        </w:rPr>
        <w:br/>
      </w:r>
      <w:r>
        <w:rPr>
          <w:rFonts w:ascii="Simsun" w:hAnsi="Simsun"/>
          <w:color w:val="000000"/>
          <w:sz w:val="18"/>
          <w:szCs w:val="18"/>
        </w:rPr>
        <w:t>第六条</w:t>
      </w:r>
      <w:r>
        <w:rPr>
          <w:rFonts w:ascii="Simsun" w:hAnsi="Simsun"/>
          <w:color w:val="000000"/>
          <w:sz w:val="18"/>
          <w:szCs w:val="18"/>
        </w:rPr>
        <w:t xml:space="preserve"> </w:t>
      </w:r>
      <w:r>
        <w:rPr>
          <w:rFonts w:ascii="Simsun" w:hAnsi="Simsun"/>
          <w:color w:val="000000"/>
          <w:sz w:val="18"/>
          <w:szCs w:val="18"/>
        </w:rPr>
        <w:t>根据经济社会发展水平、市场价格及消费水平变动情况，自治区将适时调整差旅费标准。</w:t>
      </w:r>
    </w:p>
    <w:p w:rsidR="00916061" w:rsidRDefault="00916061" w:rsidP="00916061">
      <w:pPr>
        <w:pStyle w:val="a3"/>
        <w:spacing w:before="450" w:beforeAutospacing="0" w:after="450" w:afterAutospacing="0" w:line="360" w:lineRule="atLeast"/>
        <w:rPr>
          <w:rFonts w:ascii="Simsun" w:hAnsi="Simsun"/>
          <w:color w:val="000000"/>
          <w:sz w:val="18"/>
          <w:szCs w:val="18"/>
        </w:rPr>
      </w:pPr>
      <w:r>
        <w:rPr>
          <w:rFonts w:ascii="Simsun" w:hAnsi="Simsun"/>
          <w:color w:val="000000"/>
          <w:sz w:val="18"/>
          <w:szCs w:val="18"/>
        </w:rPr>
        <w:t>第二章</w:t>
      </w:r>
      <w:r>
        <w:rPr>
          <w:rFonts w:ascii="Simsun" w:hAnsi="Simsun"/>
          <w:color w:val="000000"/>
          <w:sz w:val="18"/>
          <w:szCs w:val="18"/>
        </w:rPr>
        <w:t xml:space="preserve"> </w:t>
      </w:r>
      <w:r>
        <w:rPr>
          <w:rFonts w:ascii="Simsun" w:hAnsi="Simsun"/>
          <w:color w:val="000000"/>
          <w:sz w:val="18"/>
          <w:szCs w:val="18"/>
        </w:rPr>
        <w:t>城市间交通费</w:t>
      </w:r>
      <w:r>
        <w:rPr>
          <w:rFonts w:ascii="Simsun" w:hAnsi="Simsun"/>
          <w:color w:val="000000"/>
          <w:sz w:val="18"/>
          <w:szCs w:val="18"/>
        </w:rPr>
        <w:br/>
      </w:r>
      <w:r>
        <w:rPr>
          <w:rFonts w:ascii="Simsun" w:hAnsi="Simsun"/>
          <w:color w:val="000000"/>
          <w:sz w:val="18"/>
          <w:szCs w:val="18"/>
        </w:rPr>
        <w:t>第七条</w:t>
      </w:r>
      <w:r>
        <w:rPr>
          <w:rFonts w:ascii="Simsun" w:hAnsi="Simsun"/>
          <w:color w:val="000000"/>
          <w:sz w:val="18"/>
          <w:szCs w:val="18"/>
        </w:rPr>
        <w:t xml:space="preserve"> </w:t>
      </w:r>
      <w:r>
        <w:rPr>
          <w:rFonts w:ascii="Simsun" w:hAnsi="Simsun"/>
          <w:color w:val="000000"/>
          <w:sz w:val="18"/>
          <w:szCs w:val="18"/>
        </w:rPr>
        <w:t>城市间交通费是指工作人员因公到常驻地以外地区出差乘坐火车、轮船、飞机等交通工具所发生的费用。</w:t>
      </w:r>
      <w:r>
        <w:rPr>
          <w:rFonts w:ascii="Simsun" w:hAnsi="Simsun"/>
          <w:color w:val="000000"/>
          <w:sz w:val="18"/>
          <w:szCs w:val="18"/>
        </w:rPr>
        <w:br/>
      </w:r>
      <w:r>
        <w:rPr>
          <w:rFonts w:ascii="Simsun" w:hAnsi="Simsun"/>
          <w:color w:val="000000"/>
          <w:sz w:val="18"/>
          <w:szCs w:val="18"/>
        </w:rPr>
        <w:t>第八条</w:t>
      </w:r>
      <w:r>
        <w:rPr>
          <w:rFonts w:ascii="Simsun" w:hAnsi="Simsun"/>
          <w:color w:val="000000"/>
          <w:sz w:val="18"/>
          <w:szCs w:val="18"/>
        </w:rPr>
        <w:t xml:space="preserve"> </w:t>
      </w:r>
      <w:r>
        <w:rPr>
          <w:rFonts w:ascii="Simsun" w:hAnsi="Simsun"/>
          <w:color w:val="000000"/>
          <w:sz w:val="18"/>
          <w:szCs w:val="18"/>
        </w:rPr>
        <w:t>出差人员要按照规定等级乘坐交通工具，凭据报销城市间交通费。未按规定乘坐交通工具的，超支部分自理。乘坐飞机、火车、轮船的舱（席）位等级标准见附表</w:t>
      </w:r>
      <w:proofErr w:type="gramStart"/>
      <w:r>
        <w:rPr>
          <w:rFonts w:ascii="Simsun" w:hAnsi="Simsun"/>
          <w:color w:val="000000"/>
          <w:sz w:val="18"/>
          <w:szCs w:val="18"/>
        </w:rPr>
        <w:t>一</w:t>
      </w:r>
      <w:proofErr w:type="gramEnd"/>
      <w:r>
        <w:rPr>
          <w:rFonts w:ascii="Simsun" w:hAnsi="Simsun"/>
          <w:color w:val="000000"/>
          <w:sz w:val="18"/>
          <w:szCs w:val="18"/>
        </w:rPr>
        <w:t>。</w:t>
      </w:r>
      <w:r>
        <w:rPr>
          <w:rFonts w:ascii="Simsun" w:hAnsi="Simsun"/>
          <w:color w:val="000000"/>
          <w:sz w:val="18"/>
          <w:szCs w:val="18"/>
        </w:rPr>
        <w:br/>
      </w:r>
      <w:r>
        <w:rPr>
          <w:rFonts w:ascii="Simsun" w:hAnsi="Simsun"/>
          <w:color w:val="000000"/>
          <w:sz w:val="18"/>
          <w:szCs w:val="18"/>
        </w:rPr>
        <w:t>第九条</w:t>
      </w:r>
      <w:r>
        <w:rPr>
          <w:rFonts w:ascii="Simsun" w:hAnsi="Simsun"/>
          <w:color w:val="000000"/>
          <w:sz w:val="18"/>
          <w:szCs w:val="18"/>
        </w:rPr>
        <w:t xml:space="preserve"> </w:t>
      </w:r>
      <w:r>
        <w:rPr>
          <w:rFonts w:ascii="Simsun" w:hAnsi="Simsun"/>
          <w:color w:val="000000"/>
          <w:sz w:val="18"/>
          <w:szCs w:val="18"/>
        </w:rPr>
        <w:t>到出差目的地有多种交通工具可选择时，出差人员在不影响公务、确保安全的前提下，应当选乘经济便捷的交通工具。</w:t>
      </w:r>
      <w:r>
        <w:rPr>
          <w:rFonts w:ascii="Simsun" w:hAnsi="Simsun"/>
          <w:color w:val="000000"/>
          <w:sz w:val="18"/>
          <w:szCs w:val="18"/>
        </w:rPr>
        <w:br/>
      </w:r>
      <w:r>
        <w:rPr>
          <w:rFonts w:ascii="Simsun" w:hAnsi="Simsun"/>
          <w:color w:val="000000"/>
          <w:sz w:val="18"/>
          <w:szCs w:val="18"/>
        </w:rPr>
        <w:t>第十条</w:t>
      </w:r>
      <w:r>
        <w:rPr>
          <w:rFonts w:ascii="Simsun" w:hAnsi="Simsun"/>
          <w:color w:val="000000"/>
          <w:sz w:val="18"/>
          <w:szCs w:val="18"/>
        </w:rPr>
        <w:t xml:space="preserve"> </w:t>
      </w:r>
      <w:r>
        <w:rPr>
          <w:rFonts w:ascii="Simsun" w:hAnsi="Simsun"/>
          <w:color w:val="000000"/>
          <w:sz w:val="18"/>
          <w:szCs w:val="18"/>
        </w:rPr>
        <w:t>乘坐飞机、火车、轮船等交通工具的，往返专线客车费用、订（退）票手续费、民航发展基金、燃油附加费、人身意外伤害保险（限每人每次一份），可凭据报销。所在单位已经统一购买交通意外保险的，不再重复报销。</w:t>
      </w:r>
    </w:p>
    <w:p w:rsidR="00916061" w:rsidRDefault="00916061" w:rsidP="00916061">
      <w:pPr>
        <w:pStyle w:val="a3"/>
        <w:spacing w:before="450" w:beforeAutospacing="0" w:after="450" w:afterAutospacing="0" w:line="360" w:lineRule="atLeast"/>
        <w:rPr>
          <w:rFonts w:ascii="Simsun" w:hAnsi="Simsun"/>
          <w:color w:val="000000"/>
          <w:sz w:val="18"/>
          <w:szCs w:val="18"/>
        </w:rPr>
      </w:pPr>
      <w:r>
        <w:rPr>
          <w:rFonts w:ascii="Simsun" w:hAnsi="Simsun"/>
          <w:color w:val="000000"/>
          <w:sz w:val="18"/>
          <w:szCs w:val="18"/>
        </w:rPr>
        <w:t>第三章</w:t>
      </w:r>
      <w:r>
        <w:rPr>
          <w:rFonts w:ascii="Simsun" w:hAnsi="Simsun"/>
          <w:color w:val="000000"/>
          <w:sz w:val="18"/>
          <w:szCs w:val="18"/>
        </w:rPr>
        <w:t xml:space="preserve"> </w:t>
      </w:r>
      <w:r>
        <w:rPr>
          <w:rFonts w:ascii="Simsun" w:hAnsi="Simsun"/>
          <w:color w:val="000000"/>
          <w:sz w:val="18"/>
          <w:szCs w:val="18"/>
        </w:rPr>
        <w:t>住宿费</w:t>
      </w:r>
      <w:r>
        <w:rPr>
          <w:rFonts w:ascii="Simsun" w:hAnsi="Simsun"/>
          <w:color w:val="000000"/>
          <w:sz w:val="18"/>
          <w:szCs w:val="18"/>
        </w:rPr>
        <w:br/>
      </w:r>
      <w:r>
        <w:rPr>
          <w:rFonts w:ascii="Simsun" w:hAnsi="Simsun"/>
          <w:color w:val="000000"/>
          <w:sz w:val="18"/>
          <w:szCs w:val="18"/>
        </w:rPr>
        <w:t>第十一条</w:t>
      </w:r>
      <w:r>
        <w:rPr>
          <w:rFonts w:ascii="Simsun" w:hAnsi="Simsun"/>
          <w:color w:val="000000"/>
          <w:sz w:val="18"/>
          <w:szCs w:val="18"/>
        </w:rPr>
        <w:t xml:space="preserve"> </w:t>
      </w:r>
      <w:r>
        <w:rPr>
          <w:rFonts w:ascii="Simsun" w:hAnsi="Simsun"/>
          <w:color w:val="000000"/>
          <w:sz w:val="18"/>
          <w:szCs w:val="18"/>
        </w:rPr>
        <w:t>住宿费是指工作人员因公出</w:t>
      </w:r>
      <w:proofErr w:type="gramStart"/>
      <w:r>
        <w:rPr>
          <w:rFonts w:ascii="Simsun" w:hAnsi="Simsun"/>
          <w:color w:val="000000"/>
          <w:sz w:val="18"/>
          <w:szCs w:val="18"/>
        </w:rPr>
        <w:t>差期间</w:t>
      </w:r>
      <w:proofErr w:type="gramEnd"/>
      <w:r>
        <w:rPr>
          <w:rFonts w:ascii="Simsun" w:hAnsi="Simsun"/>
          <w:color w:val="000000"/>
          <w:sz w:val="18"/>
          <w:szCs w:val="18"/>
        </w:rPr>
        <w:t>入住宾馆（包括酒店、饭店、招待所，下同）发生的房租费用。</w:t>
      </w:r>
      <w:r>
        <w:rPr>
          <w:rFonts w:ascii="Simsun" w:hAnsi="Simsun"/>
          <w:color w:val="000000"/>
          <w:sz w:val="18"/>
          <w:szCs w:val="18"/>
        </w:rPr>
        <w:br/>
      </w:r>
      <w:r>
        <w:rPr>
          <w:rFonts w:ascii="Simsun" w:hAnsi="Simsun"/>
          <w:color w:val="000000"/>
          <w:sz w:val="18"/>
          <w:szCs w:val="18"/>
        </w:rPr>
        <w:t>第十二条</w:t>
      </w:r>
      <w:r>
        <w:rPr>
          <w:rFonts w:ascii="Simsun" w:hAnsi="Simsun"/>
          <w:color w:val="000000"/>
          <w:sz w:val="18"/>
          <w:szCs w:val="18"/>
        </w:rPr>
        <w:t xml:space="preserve"> </w:t>
      </w:r>
      <w:r>
        <w:rPr>
          <w:rFonts w:ascii="Simsun" w:hAnsi="Simsun"/>
          <w:color w:val="000000"/>
          <w:sz w:val="18"/>
          <w:szCs w:val="18"/>
        </w:rPr>
        <w:t>出差人员住宿费实行限额凭据报销。统一执行财政部分省、自治区、直辖市及计划单列市核定的</w:t>
      </w:r>
      <w:r>
        <w:rPr>
          <w:rFonts w:ascii="Simsun" w:hAnsi="Simsun"/>
          <w:color w:val="000000"/>
          <w:sz w:val="18"/>
          <w:szCs w:val="18"/>
        </w:rPr>
        <w:lastRenderedPageBreak/>
        <w:t>住宿费限额标准。按出差实际住宿天数计算，超出限额部分由个人负担。住宿费报销标准见附表二。</w:t>
      </w:r>
      <w:r>
        <w:rPr>
          <w:rFonts w:ascii="Simsun" w:hAnsi="Simsun"/>
          <w:color w:val="000000"/>
          <w:sz w:val="18"/>
          <w:szCs w:val="18"/>
        </w:rPr>
        <w:br/>
      </w:r>
      <w:r>
        <w:rPr>
          <w:rFonts w:ascii="Simsun" w:hAnsi="Simsun"/>
          <w:color w:val="000000"/>
          <w:sz w:val="18"/>
          <w:szCs w:val="18"/>
        </w:rPr>
        <w:t>第十三条</w:t>
      </w:r>
      <w:r>
        <w:rPr>
          <w:rFonts w:ascii="Simsun" w:hAnsi="Simsun"/>
          <w:color w:val="000000"/>
          <w:sz w:val="18"/>
          <w:szCs w:val="18"/>
        </w:rPr>
        <w:t xml:space="preserve"> </w:t>
      </w:r>
      <w:r>
        <w:rPr>
          <w:rFonts w:ascii="Simsun" w:hAnsi="Simsun"/>
          <w:color w:val="000000"/>
          <w:sz w:val="18"/>
          <w:szCs w:val="18"/>
        </w:rPr>
        <w:t>出差人员应当在职务级别对应的住宿费标准限额内，选择安全、经济、便捷的宾馆住宿。出差人员无住宿费票据的，一律不予报销住宿费。</w:t>
      </w:r>
    </w:p>
    <w:p w:rsidR="00916061" w:rsidRDefault="00916061" w:rsidP="00916061">
      <w:pPr>
        <w:pStyle w:val="a3"/>
        <w:spacing w:before="450" w:beforeAutospacing="0" w:after="450" w:afterAutospacing="0" w:line="360" w:lineRule="atLeast"/>
        <w:rPr>
          <w:rFonts w:ascii="Simsun" w:hAnsi="Simsun"/>
          <w:color w:val="000000"/>
          <w:sz w:val="18"/>
          <w:szCs w:val="18"/>
        </w:rPr>
      </w:pPr>
      <w:r>
        <w:rPr>
          <w:rFonts w:ascii="Simsun" w:hAnsi="Simsun"/>
          <w:color w:val="000000"/>
          <w:sz w:val="18"/>
          <w:szCs w:val="18"/>
        </w:rPr>
        <w:t>第四章</w:t>
      </w:r>
      <w:r>
        <w:rPr>
          <w:rFonts w:ascii="Simsun" w:hAnsi="Simsun"/>
          <w:color w:val="000000"/>
          <w:sz w:val="18"/>
          <w:szCs w:val="18"/>
        </w:rPr>
        <w:t xml:space="preserve"> </w:t>
      </w:r>
      <w:r>
        <w:rPr>
          <w:rFonts w:ascii="Simsun" w:hAnsi="Simsun"/>
          <w:color w:val="000000"/>
          <w:sz w:val="18"/>
          <w:szCs w:val="18"/>
        </w:rPr>
        <w:t>伙食补助费</w:t>
      </w:r>
      <w:r>
        <w:rPr>
          <w:rFonts w:ascii="Simsun" w:hAnsi="Simsun"/>
          <w:color w:val="000000"/>
          <w:sz w:val="18"/>
          <w:szCs w:val="18"/>
        </w:rPr>
        <w:br/>
      </w:r>
      <w:r>
        <w:rPr>
          <w:rFonts w:ascii="Simsun" w:hAnsi="Simsun"/>
          <w:color w:val="000000"/>
          <w:sz w:val="18"/>
          <w:szCs w:val="18"/>
        </w:rPr>
        <w:t>第十四条</w:t>
      </w:r>
      <w:r>
        <w:rPr>
          <w:rFonts w:ascii="Simsun" w:hAnsi="Simsun"/>
          <w:color w:val="000000"/>
          <w:sz w:val="18"/>
          <w:szCs w:val="18"/>
        </w:rPr>
        <w:t xml:space="preserve"> </w:t>
      </w:r>
      <w:r>
        <w:rPr>
          <w:rFonts w:ascii="Simsun" w:hAnsi="Simsun"/>
          <w:color w:val="000000"/>
          <w:sz w:val="18"/>
          <w:szCs w:val="18"/>
        </w:rPr>
        <w:t>伙食补助费是指对工作人员在因公出</w:t>
      </w:r>
      <w:proofErr w:type="gramStart"/>
      <w:r>
        <w:rPr>
          <w:rFonts w:ascii="Simsun" w:hAnsi="Simsun"/>
          <w:color w:val="000000"/>
          <w:sz w:val="18"/>
          <w:szCs w:val="18"/>
        </w:rPr>
        <w:t>差期间</w:t>
      </w:r>
      <w:proofErr w:type="gramEnd"/>
      <w:r>
        <w:rPr>
          <w:rFonts w:ascii="Simsun" w:hAnsi="Simsun"/>
          <w:color w:val="000000"/>
          <w:sz w:val="18"/>
          <w:szCs w:val="18"/>
        </w:rPr>
        <w:t>给予的伙食补助费用。</w:t>
      </w:r>
      <w:r>
        <w:rPr>
          <w:rFonts w:ascii="Simsun" w:hAnsi="Simsun"/>
          <w:color w:val="000000"/>
          <w:sz w:val="18"/>
          <w:szCs w:val="18"/>
        </w:rPr>
        <w:br/>
      </w:r>
      <w:r>
        <w:rPr>
          <w:rFonts w:ascii="Simsun" w:hAnsi="Simsun"/>
          <w:color w:val="000000"/>
          <w:sz w:val="18"/>
          <w:szCs w:val="18"/>
        </w:rPr>
        <w:t>第十五条</w:t>
      </w:r>
      <w:r>
        <w:rPr>
          <w:rFonts w:ascii="Simsun" w:hAnsi="Simsun"/>
          <w:color w:val="000000"/>
          <w:sz w:val="18"/>
          <w:szCs w:val="18"/>
        </w:rPr>
        <w:t xml:space="preserve"> </w:t>
      </w:r>
      <w:r>
        <w:rPr>
          <w:rFonts w:ascii="Simsun" w:hAnsi="Simsun"/>
          <w:color w:val="000000"/>
          <w:sz w:val="18"/>
          <w:szCs w:val="18"/>
        </w:rPr>
        <w:t>出差人员的伙食补助费按出差自然（日历）天数计算，统一执行财政部分省、自治区、直辖市及计划单列市核定的伙食补助费标准，按规定包干使用，不再报销其他相关费用。伙食补助费标准见附表二。</w:t>
      </w:r>
      <w:r>
        <w:rPr>
          <w:rFonts w:ascii="Simsun" w:hAnsi="Simsun"/>
          <w:color w:val="000000"/>
          <w:sz w:val="18"/>
          <w:szCs w:val="18"/>
        </w:rPr>
        <w:br/>
      </w:r>
      <w:r>
        <w:rPr>
          <w:rFonts w:ascii="Simsun" w:hAnsi="Simsun"/>
          <w:color w:val="000000"/>
          <w:sz w:val="18"/>
          <w:szCs w:val="18"/>
        </w:rPr>
        <w:t>第十六条</w:t>
      </w:r>
      <w:r>
        <w:rPr>
          <w:rFonts w:ascii="Simsun" w:hAnsi="Simsun"/>
          <w:color w:val="000000"/>
          <w:sz w:val="18"/>
          <w:szCs w:val="18"/>
        </w:rPr>
        <w:t xml:space="preserve"> </w:t>
      </w:r>
      <w:r>
        <w:rPr>
          <w:rFonts w:ascii="Simsun" w:hAnsi="Simsun"/>
          <w:color w:val="000000"/>
          <w:sz w:val="18"/>
          <w:szCs w:val="18"/>
        </w:rPr>
        <w:t>出差人员乘坐火车或长途班车，连续乘车超过</w:t>
      </w:r>
      <w:r>
        <w:rPr>
          <w:rFonts w:ascii="Simsun" w:hAnsi="Simsun"/>
          <w:color w:val="000000"/>
          <w:sz w:val="18"/>
          <w:szCs w:val="18"/>
        </w:rPr>
        <w:t>8</w:t>
      </w:r>
      <w:r>
        <w:rPr>
          <w:rFonts w:ascii="Simsun" w:hAnsi="Simsun"/>
          <w:color w:val="000000"/>
          <w:sz w:val="18"/>
          <w:szCs w:val="18"/>
        </w:rPr>
        <w:t>小时的，可凭车票按照自然（日历）天数，每人每天加发</w:t>
      </w:r>
      <w:r>
        <w:rPr>
          <w:rFonts w:ascii="Simsun" w:hAnsi="Simsun"/>
          <w:color w:val="000000"/>
          <w:sz w:val="18"/>
          <w:szCs w:val="18"/>
        </w:rPr>
        <w:t>50</w:t>
      </w:r>
      <w:r>
        <w:rPr>
          <w:rFonts w:ascii="Simsun" w:hAnsi="Simsun"/>
          <w:color w:val="000000"/>
          <w:sz w:val="18"/>
          <w:szCs w:val="18"/>
        </w:rPr>
        <w:t>元伙食补助。</w:t>
      </w:r>
      <w:r>
        <w:rPr>
          <w:rFonts w:ascii="Simsun" w:hAnsi="Simsun"/>
          <w:color w:val="000000"/>
          <w:sz w:val="18"/>
          <w:szCs w:val="18"/>
        </w:rPr>
        <w:br/>
      </w:r>
      <w:r>
        <w:rPr>
          <w:rFonts w:ascii="Simsun" w:hAnsi="Simsun"/>
          <w:color w:val="000000"/>
          <w:sz w:val="18"/>
          <w:szCs w:val="18"/>
        </w:rPr>
        <w:t>第十七条</w:t>
      </w:r>
      <w:r>
        <w:rPr>
          <w:rFonts w:ascii="Simsun" w:hAnsi="Simsun"/>
          <w:color w:val="000000"/>
          <w:sz w:val="18"/>
          <w:szCs w:val="18"/>
        </w:rPr>
        <w:t xml:space="preserve"> </w:t>
      </w:r>
      <w:r>
        <w:rPr>
          <w:rFonts w:ascii="Simsun" w:hAnsi="Simsun"/>
          <w:color w:val="000000"/>
          <w:sz w:val="18"/>
          <w:szCs w:val="18"/>
        </w:rPr>
        <w:t>出差人员应当自行用餐。凡由接待单位统一安排用餐的，应当向接待单位按标准交纳伙食费。</w:t>
      </w:r>
    </w:p>
    <w:p w:rsidR="00916061" w:rsidRDefault="00916061" w:rsidP="00916061">
      <w:pPr>
        <w:pStyle w:val="a3"/>
        <w:spacing w:before="450" w:beforeAutospacing="0" w:after="450" w:afterAutospacing="0" w:line="360" w:lineRule="atLeast"/>
        <w:rPr>
          <w:rFonts w:ascii="Simsun" w:hAnsi="Simsun"/>
          <w:color w:val="000000"/>
          <w:sz w:val="18"/>
          <w:szCs w:val="18"/>
        </w:rPr>
      </w:pPr>
      <w:r>
        <w:rPr>
          <w:rFonts w:ascii="Simsun" w:hAnsi="Simsun"/>
          <w:color w:val="000000"/>
          <w:sz w:val="18"/>
          <w:szCs w:val="18"/>
        </w:rPr>
        <w:t>第五章</w:t>
      </w:r>
      <w:r>
        <w:rPr>
          <w:rFonts w:ascii="Simsun" w:hAnsi="Simsun"/>
          <w:color w:val="000000"/>
          <w:sz w:val="18"/>
          <w:szCs w:val="18"/>
        </w:rPr>
        <w:t xml:space="preserve"> </w:t>
      </w:r>
      <w:r>
        <w:rPr>
          <w:rFonts w:ascii="Simsun" w:hAnsi="Simsun"/>
          <w:color w:val="000000"/>
          <w:sz w:val="18"/>
          <w:szCs w:val="18"/>
        </w:rPr>
        <w:t>市内交通费</w:t>
      </w:r>
      <w:r>
        <w:rPr>
          <w:rFonts w:ascii="Simsun" w:hAnsi="Simsun"/>
          <w:color w:val="000000"/>
          <w:sz w:val="18"/>
          <w:szCs w:val="18"/>
        </w:rPr>
        <w:br/>
      </w:r>
      <w:r>
        <w:rPr>
          <w:rFonts w:ascii="Simsun" w:hAnsi="Simsun"/>
          <w:color w:val="000000"/>
          <w:sz w:val="18"/>
          <w:szCs w:val="18"/>
        </w:rPr>
        <w:t>第十八条</w:t>
      </w:r>
      <w:r>
        <w:rPr>
          <w:rFonts w:ascii="Simsun" w:hAnsi="Simsun"/>
          <w:color w:val="000000"/>
          <w:sz w:val="18"/>
          <w:szCs w:val="18"/>
        </w:rPr>
        <w:t xml:space="preserve"> </w:t>
      </w:r>
      <w:r>
        <w:rPr>
          <w:rFonts w:ascii="Simsun" w:hAnsi="Simsun"/>
          <w:color w:val="000000"/>
          <w:sz w:val="18"/>
          <w:szCs w:val="18"/>
        </w:rPr>
        <w:t>市内交通费是指工作人员因公出</w:t>
      </w:r>
      <w:proofErr w:type="gramStart"/>
      <w:r>
        <w:rPr>
          <w:rFonts w:ascii="Simsun" w:hAnsi="Simsun"/>
          <w:color w:val="000000"/>
          <w:sz w:val="18"/>
          <w:szCs w:val="18"/>
        </w:rPr>
        <w:t>差期间</w:t>
      </w:r>
      <w:proofErr w:type="gramEnd"/>
      <w:r>
        <w:rPr>
          <w:rFonts w:ascii="Simsun" w:hAnsi="Simsun"/>
          <w:color w:val="000000"/>
          <w:sz w:val="18"/>
          <w:szCs w:val="18"/>
        </w:rPr>
        <w:t>发生的市内交通费用。</w:t>
      </w:r>
      <w:r>
        <w:rPr>
          <w:rFonts w:ascii="Simsun" w:hAnsi="Simsun"/>
          <w:color w:val="000000"/>
          <w:sz w:val="18"/>
          <w:szCs w:val="18"/>
        </w:rPr>
        <w:br/>
      </w:r>
      <w:r>
        <w:rPr>
          <w:rFonts w:ascii="Simsun" w:hAnsi="Simsun"/>
          <w:color w:val="000000"/>
          <w:sz w:val="18"/>
          <w:szCs w:val="18"/>
        </w:rPr>
        <w:t>第十九条</w:t>
      </w:r>
      <w:r>
        <w:rPr>
          <w:rFonts w:ascii="Simsun" w:hAnsi="Simsun"/>
          <w:color w:val="000000"/>
          <w:sz w:val="18"/>
          <w:szCs w:val="18"/>
        </w:rPr>
        <w:t xml:space="preserve"> </w:t>
      </w:r>
      <w:r>
        <w:rPr>
          <w:rFonts w:ascii="Simsun" w:hAnsi="Simsun"/>
          <w:color w:val="000000"/>
          <w:sz w:val="18"/>
          <w:szCs w:val="18"/>
        </w:rPr>
        <w:t>市内交通费按到达目的地后的自然（日历）天数计算，每人每天为</w:t>
      </w:r>
      <w:r>
        <w:rPr>
          <w:rFonts w:ascii="Simsun" w:hAnsi="Simsun"/>
          <w:color w:val="000000"/>
          <w:sz w:val="18"/>
          <w:szCs w:val="18"/>
        </w:rPr>
        <w:t>80</w:t>
      </w:r>
      <w:r>
        <w:rPr>
          <w:rFonts w:ascii="Simsun" w:hAnsi="Simsun"/>
          <w:color w:val="000000"/>
          <w:sz w:val="18"/>
          <w:szCs w:val="18"/>
        </w:rPr>
        <w:t xml:space="preserve">元，实行包干使用，不再报销其他相关费用。　　</w:t>
      </w:r>
      <w:r>
        <w:rPr>
          <w:rFonts w:ascii="Simsun" w:hAnsi="Simsun"/>
          <w:color w:val="000000"/>
          <w:sz w:val="18"/>
          <w:szCs w:val="18"/>
        </w:rPr>
        <w:t> </w:t>
      </w:r>
      <w:r>
        <w:rPr>
          <w:rStyle w:val="apple-converted-space"/>
          <w:rFonts w:ascii="Simsun" w:hAnsi="Simsun"/>
          <w:color w:val="000000"/>
          <w:sz w:val="18"/>
          <w:szCs w:val="18"/>
        </w:rPr>
        <w:t> </w:t>
      </w:r>
      <w:r>
        <w:rPr>
          <w:rFonts w:ascii="Simsun" w:hAnsi="Simsun"/>
          <w:color w:val="000000"/>
          <w:sz w:val="18"/>
          <w:szCs w:val="18"/>
        </w:rPr>
        <w:br/>
      </w:r>
      <w:r>
        <w:rPr>
          <w:rFonts w:ascii="Simsun" w:hAnsi="Simsun"/>
          <w:color w:val="000000"/>
          <w:sz w:val="18"/>
          <w:szCs w:val="18"/>
        </w:rPr>
        <w:t>第二十条</w:t>
      </w:r>
      <w:r>
        <w:rPr>
          <w:rFonts w:ascii="Simsun" w:hAnsi="Simsun"/>
          <w:color w:val="000000"/>
          <w:sz w:val="18"/>
          <w:szCs w:val="18"/>
        </w:rPr>
        <w:t xml:space="preserve"> </w:t>
      </w:r>
      <w:r>
        <w:rPr>
          <w:rFonts w:ascii="Simsun" w:hAnsi="Simsun"/>
          <w:color w:val="000000"/>
          <w:sz w:val="18"/>
          <w:szCs w:val="18"/>
        </w:rPr>
        <w:t>出差人员由接待单位或其他单位提供交通工具的，应向接待单位或其他单位交纳相关费用。出差人员由所在单位提供车辆的，不予报销市内交通费。</w:t>
      </w:r>
    </w:p>
    <w:p w:rsidR="00916061" w:rsidRDefault="00916061" w:rsidP="00916061">
      <w:pPr>
        <w:pStyle w:val="a3"/>
        <w:spacing w:before="450" w:beforeAutospacing="0" w:after="450" w:afterAutospacing="0" w:line="360" w:lineRule="atLeast"/>
        <w:rPr>
          <w:rFonts w:ascii="Simsun" w:hAnsi="Simsun"/>
          <w:color w:val="000000"/>
          <w:sz w:val="18"/>
          <w:szCs w:val="18"/>
        </w:rPr>
      </w:pPr>
      <w:r>
        <w:rPr>
          <w:rFonts w:ascii="Simsun" w:hAnsi="Simsun"/>
          <w:color w:val="000000"/>
          <w:sz w:val="18"/>
          <w:szCs w:val="18"/>
        </w:rPr>
        <w:t>第六章</w:t>
      </w:r>
      <w:r>
        <w:rPr>
          <w:rFonts w:ascii="Simsun" w:hAnsi="Simsun"/>
          <w:color w:val="000000"/>
          <w:sz w:val="18"/>
          <w:szCs w:val="18"/>
        </w:rPr>
        <w:t xml:space="preserve"> </w:t>
      </w:r>
      <w:r>
        <w:rPr>
          <w:rFonts w:ascii="Simsun" w:hAnsi="Simsun"/>
          <w:color w:val="000000"/>
          <w:sz w:val="18"/>
          <w:szCs w:val="18"/>
        </w:rPr>
        <w:t>监督问责</w:t>
      </w:r>
      <w:r>
        <w:rPr>
          <w:rFonts w:ascii="Simsun" w:hAnsi="Simsun"/>
          <w:color w:val="000000"/>
          <w:sz w:val="18"/>
          <w:szCs w:val="18"/>
        </w:rPr>
        <w:br/>
      </w:r>
      <w:r>
        <w:rPr>
          <w:rFonts w:ascii="Simsun" w:hAnsi="Simsun"/>
          <w:color w:val="000000"/>
          <w:sz w:val="18"/>
          <w:szCs w:val="18"/>
        </w:rPr>
        <w:t>第二十一条</w:t>
      </w:r>
      <w:r>
        <w:rPr>
          <w:rFonts w:ascii="Simsun" w:hAnsi="Simsun"/>
          <w:color w:val="000000"/>
          <w:sz w:val="18"/>
          <w:szCs w:val="18"/>
        </w:rPr>
        <w:t xml:space="preserve"> </w:t>
      </w:r>
      <w:r>
        <w:rPr>
          <w:rFonts w:ascii="Simsun" w:hAnsi="Simsun"/>
          <w:color w:val="000000"/>
          <w:sz w:val="18"/>
          <w:szCs w:val="18"/>
        </w:rPr>
        <w:t>各单位应当加强对本单位工作人员出差活动和经费报销的内控管理，对本单位出差审批制度、差旅费预算及规模控制负责，相关负责人、财务人员等对差旅费报销进行审核把关，确保票据来源合法，内容真实、完整、合</w:t>
      </w:r>
      <w:proofErr w:type="gramStart"/>
      <w:r>
        <w:rPr>
          <w:rFonts w:ascii="Simsun" w:hAnsi="Simsun"/>
          <w:color w:val="000000"/>
          <w:sz w:val="18"/>
          <w:szCs w:val="18"/>
        </w:rPr>
        <w:t>规</w:t>
      </w:r>
      <w:proofErr w:type="gramEnd"/>
      <w:r>
        <w:rPr>
          <w:rFonts w:ascii="Simsun" w:hAnsi="Simsun"/>
          <w:color w:val="000000"/>
          <w:sz w:val="18"/>
          <w:szCs w:val="18"/>
        </w:rPr>
        <w:t>。对未经批准擅自出差、不按规定开支和报销差旅费的人员进行严肃处理。</w:t>
      </w:r>
      <w:r>
        <w:rPr>
          <w:rFonts w:ascii="Simsun" w:hAnsi="Simsun"/>
          <w:color w:val="000000"/>
          <w:sz w:val="18"/>
          <w:szCs w:val="18"/>
        </w:rPr>
        <w:br/>
      </w:r>
      <w:r>
        <w:rPr>
          <w:rFonts w:ascii="Simsun" w:hAnsi="Simsun"/>
          <w:color w:val="000000"/>
          <w:sz w:val="18"/>
          <w:szCs w:val="18"/>
        </w:rPr>
        <w:t>各单位应自觉接受审计部门审计监督和财政部门的监督检查。</w:t>
      </w:r>
      <w:r>
        <w:rPr>
          <w:rFonts w:ascii="Simsun" w:hAnsi="Simsun"/>
          <w:color w:val="000000"/>
          <w:sz w:val="18"/>
          <w:szCs w:val="18"/>
        </w:rPr>
        <w:br/>
      </w:r>
      <w:r>
        <w:rPr>
          <w:rFonts w:ascii="Simsun" w:hAnsi="Simsun"/>
          <w:color w:val="000000"/>
          <w:sz w:val="18"/>
          <w:szCs w:val="18"/>
        </w:rPr>
        <w:t>第二十二条</w:t>
      </w:r>
      <w:r>
        <w:rPr>
          <w:rFonts w:ascii="Simsun" w:hAnsi="Simsun"/>
          <w:color w:val="000000"/>
          <w:sz w:val="18"/>
          <w:szCs w:val="18"/>
        </w:rPr>
        <w:t xml:space="preserve"> </w:t>
      </w:r>
      <w:r>
        <w:rPr>
          <w:rFonts w:ascii="Simsun" w:hAnsi="Simsun"/>
          <w:color w:val="000000"/>
          <w:sz w:val="18"/>
          <w:szCs w:val="18"/>
        </w:rPr>
        <w:t>自治区财政厅会同审计厅等相关部门对各单位差旅费管理和使用情况进行监督检查。主要内容包括：</w:t>
      </w:r>
      <w:r>
        <w:rPr>
          <w:rFonts w:ascii="Simsun" w:hAnsi="Simsun"/>
          <w:color w:val="000000"/>
          <w:sz w:val="18"/>
          <w:szCs w:val="18"/>
        </w:rPr>
        <w:br/>
      </w:r>
      <w:r>
        <w:rPr>
          <w:rFonts w:ascii="Simsun" w:hAnsi="Simsun"/>
          <w:color w:val="000000"/>
          <w:sz w:val="18"/>
          <w:szCs w:val="18"/>
        </w:rPr>
        <w:t>（一）单位</w:t>
      </w:r>
      <w:proofErr w:type="gramStart"/>
      <w:r>
        <w:rPr>
          <w:rFonts w:ascii="Simsun" w:hAnsi="Simsun"/>
          <w:color w:val="000000"/>
          <w:sz w:val="18"/>
          <w:szCs w:val="18"/>
        </w:rPr>
        <w:t>差旅审批</w:t>
      </w:r>
      <w:proofErr w:type="gramEnd"/>
      <w:r>
        <w:rPr>
          <w:rFonts w:ascii="Simsun" w:hAnsi="Simsun"/>
          <w:color w:val="000000"/>
          <w:sz w:val="18"/>
          <w:szCs w:val="18"/>
        </w:rPr>
        <w:t>制度是否健全，出差活动是否按规定履行审批手续；</w:t>
      </w:r>
      <w:r>
        <w:rPr>
          <w:rFonts w:ascii="Simsun" w:hAnsi="Simsun"/>
          <w:color w:val="000000"/>
          <w:sz w:val="18"/>
          <w:szCs w:val="18"/>
        </w:rPr>
        <w:br/>
      </w:r>
      <w:r>
        <w:rPr>
          <w:rFonts w:ascii="Simsun" w:hAnsi="Simsun"/>
          <w:color w:val="000000"/>
          <w:sz w:val="18"/>
          <w:szCs w:val="18"/>
        </w:rPr>
        <w:t>（二）差旅费开支范围和标准是否符合规定；</w:t>
      </w:r>
      <w:r>
        <w:rPr>
          <w:rFonts w:ascii="Simsun" w:hAnsi="Simsun"/>
          <w:color w:val="000000"/>
          <w:sz w:val="18"/>
          <w:szCs w:val="18"/>
        </w:rPr>
        <w:br/>
      </w:r>
      <w:r>
        <w:rPr>
          <w:rFonts w:ascii="Simsun" w:hAnsi="Simsun"/>
          <w:color w:val="000000"/>
          <w:sz w:val="18"/>
          <w:szCs w:val="18"/>
        </w:rPr>
        <w:t>（三）差旅费报销是否符合规定；</w:t>
      </w:r>
      <w:r>
        <w:rPr>
          <w:rFonts w:ascii="Simsun" w:hAnsi="Simsun"/>
          <w:color w:val="000000"/>
          <w:sz w:val="18"/>
          <w:szCs w:val="18"/>
        </w:rPr>
        <w:br/>
      </w:r>
      <w:r>
        <w:rPr>
          <w:rFonts w:ascii="Simsun" w:hAnsi="Simsun"/>
          <w:color w:val="000000"/>
          <w:sz w:val="18"/>
          <w:szCs w:val="18"/>
        </w:rPr>
        <w:t xml:space="preserve">（四）是否向下级单位、企业或其他单位转嫁差旅费；　　</w:t>
      </w:r>
      <w:r>
        <w:rPr>
          <w:rFonts w:ascii="Simsun" w:hAnsi="Simsun"/>
          <w:color w:val="000000"/>
          <w:sz w:val="18"/>
          <w:szCs w:val="18"/>
        </w:rPr>
        <w:br/>
      </w:r>
      <w:r>
        <w:rPr>
          <w:rFonts w:ascii="Simsun" w:hAnsi="Simsun"/>
          <w:color w:val="000000"/>
          <w:sz w:val="18"/>
          <w:szCs w:val="18"/>
        </w:rPr>
        <w:t>（五）差旅费管理和使用的其他情况。</w:t>
      </w:r>
      <w:r>
        <w:rPr>
          <w:rFonts w:ascii="Simsun" w:hAnsi="Simsun"/>
          <w:color w:val="000000"/>
          <w:sz w:val="18"/>
          <w:szCs w:val="18"/>
        </w:rPr>
        <w:br/>
      </w:r>
      <w:r>
        <w:rPr>
          <w:rFonts w:ascii="Simsun" w:hAnsi="Simsun"/>
          <w:color w:val="000000"/>
          <w:sz w:val="18"/>
          <w:szCs w:val="18"/>
        </w:rPr>
        <w:t>第二十三条</w:t>
      </w:r>
      <w:r>
        <w:rPr>
          <w:rFonts w:ascii="Simsun" w:hAnsi="Simsun"/>
          <w:color w:val="000000"/>
          <w:sz w:val="18"/>
          <w:szCs w:val="18"/>
        </w:rPr>
        <w:t xml:space="preserve"> </w:t>
      </w:r>
      <w:r>
        <w:rPr>
          <w:rFonts w:ascii="Simsun" w:hAnsi="Simsun"/>
          <w:color w:val="000000"/>
          <w:sz w:val="18"/>
          <w:szCs w:val="18"/>
        </w:rPr>
        <w:t>出差人员应当严格按规定开支差旅费，费用由所在单位承担，不得向下级单位、企业或其他单位转嫁。</w:t>
      </w:r>
      <w:r>
        <w:rPr>
          <w:rFonts w:ascii="Simsun" w:hAnsi="Simsun"/>
          <w:color w:val="000000"/>
          <w:sz w:val="18"/>
          <w:szCs w:val="18"/>
        </w:rPr>
        <w:br/>
      </w:r>
      <w:r>
        <w:rPr>
          <w:rFonts w:ascii="Simsun" w:hAnsi="Simsun"/>
          <w:color w:val="000000"/>
          <w:sz w:val="18"/>
          <w:szCs w:val="18"/>
        </w:rPr>
        <w:t>第二十四条</w:t>
      </w:r>
      <w:r>
        <w:rPr>
          <w:rFonts w:ascii="Simsun" w:hAnsi="Simsun"/>
          <w:color w:val="000000"/>
          <w:sz w:val="18"/>
          <w:szCs w:val="18"/>
        </w:rPr>
        <w:t xml:space="preserve"> </w:t>
      </w:r>
      <w:r>
        <w:rPr>
          <w:rFonts w:ascii="Simsun" w:hAnsi="Simsun"/>
          <w:color w:val="000000"/>
          <w:sz w:val="18"/>
          <w:szCs w:val="18"/>
        </w:rPr>
        <w:t>出差人员不得向接待单位提出正常公务活动以外的要求，不得在出差期间接受违反规定用公款支付的宴请、游览和非工作需要的参观，不得接受礼品、礼金、有价证券和土特产品等。</w:t>
      </w:r>
      <w:r>
        <w:rPr>
          <w:rFonts w:ascii="Simsun" w:hAnsi="Simsun"/>
          <w:color w:val="000000"/>
          <w:sz w:val="18"/>
          <w:szCs w:val="18"/>
        </w:rPr>
        <w:br/>
      </w:r>
      <w:r>
        <w:rPr>
          <w:rFonts w:ascii="Simsun" w:hAnsi="Simsun"/>
          <w:color w:val="000000"/>
          <w:sz w:val="18"/>
          <w:szCs w:val="18"/>
        </w:rPr>
        <w:t>第二十五条</w:t>
      </w:r>
      <w:r>
        <w:rPr>
          <w:rFonts w:ascii="Simsun" w:hAnsi="Simsun"/>
          <w:color w:val="000000"/>
          <w:sz w:val="18"/>
          <w:szCs w:val="18"/>
        </w:rPr>
        <w:t xml:space="preserve"> </w:t>
      </w:r>
      <w:r>
        <w:rPr>
          <w:rFonts w:ascii="Simsun" w:hAnsi="Simsun"/>
          <w:color w:val="000000"/>
          <w:sz w:val="18"/>
          <w:szCs w:val="18"/>
        </w:rPr>
        <w:t>违反本办法规定，有下列行为之一的，依法依规追究相关单位和人员的责任：</w:t>
      </w:r>
      <w:r>
        <w:rPr>
          <w:rFonts w:ascii="Simsun" w:hAnsi="Simsun"/>
          <w:color w:val="000000"/>
          <w:sz w:val="18"/>
          <w:szCs w:val="18"/>
        </w:rPr>
        <w:br/>
      </w:r>
      <w:r>
        <w:rPr>
          <w:rFonts w:ascii="Simsun" w:hAnsi="Simsun"/>
          <w:color w:val="000000"/>
          <w:sz w:val="18"/>
          <w:szCs w:val="18"/>
        </w:rPr>
        <w:t>（一）单位无出差审批制度或出差审批控制不严的；</w:t>
      </w:r>
      <w:r>
        <w:rPr>
          <w:rFonts w:ascii="Simsun" w:hAnsi="Simsun"/>
          <w:color w:val="000000"/>
          <w:sz w:val="18"/>
          <w:szCs w:val="18"/>
        </w:rPr>
        <w:br/>
      </w:r>
      <w:r>
        <w:rPr>
          <w:rFonts w:ascii="Simsun" w:hAnsi="Simsun"/>
          <w:color w:val="000000"/>
          <w:sz w:val="18"/>
          <w:szCs w:val="18"/>
        </w:rPr>
        <w:t>（二）虚报冒领差旅费的；</w:t>
      </w:r>
      <w:r>
        <w:rPr>
          <w:rFonts w:ascii="Simsun" w:hAnsi="Simsun"/>
          <w:color w:val="000000"/>
          <w:sz w:val="18"/>
          <w:szCs w:val="18"/>
        </w:rPr>
        <w:br/>
      </w:r>
      <w:r>
        <w:rPr>
          <w:rFonts w:ascii="Simsun" w:hAnsi="Simsun"/>
          <w:color w:val="000000"/>
          <w:sz w:val="18"/>
          <w:szCs w:val="18"/>
        </w:rPr>
        <w:lastRenderedPageBreak/>
        <w:t>（三）擅自扩大差旅费开支范围和提高开支标准的；</w:t>
      </w:r>
      <w:r>
        <w:rPr>
          <w:rFonts w:ascii="Simsun" w:hAnsi="Simsun"/>
          <w:color w:val="000000"/>
          <w:sz w:val="18"/>
          <w:szCs w:val="18"/>
        </w:rPr>
        <w:br/>
      </w:r>
      <w:r>
        <w:rPr>
          <w:rFonts w:ascii="Simsun" w:hAnsi="Simsun"/>
          <w:color w:val="000000"/>
          <w:sz w:val="18"/>
          <w:szCs w:val="18"/>
        </w:rPr>
        <w:t>（四）不按规定报销差旅费的；</w:t>
      </w:r>
      <w:r>
        <w:rPr>
          <w:rFonts w:ascii="Simsun" w:hAnsi="Simsun"/>
          <w:color w:val="000000"/>
          <w:sz w:val="18"/>
          <w:szCs w:val="18"/>
        </w:rPr>
        <w:br/>
      </w:r>
      <w:r>
        <w:rPr>
          <w:rFonts w:ascii="Simsun" w:hAnsi="Simsun"/>
          <w:color w:val="000000"/>
          <w:sz w:val="18"/>
          <w:szCs w:val="18"/>
        </w:rPr>
        <w:t>（五）转嫁差旅费的；</w:t>
      </w:r>
      <w:r>
        <w:rPr>
          <w:rFonts w:ascii="Simsun" w:hAnsi="Simsun"/>
          <w:color w:val="000000"/>
          <w:sz w:val="18"/>
          <w:szCs w:val="18"/>
        </w:rPr>
        <w:br/>
      </w:r>
      <w:r>
        <w:rPr>
          <w:rFonts w:ascii="Simsun" w:hAnsi="Simsun"/>
          <w:color w:val="000000"/>
          <w:sz w:val="18"/>
          <w:szCs w:val="18"/>
        </w:rPr>
        <w:t>（六）其他违反本办法行为的。</w:t>
      </w:r>
      <w:r>
        <w:rPr>
          <w:rFonts w:ascii="Simsun" w:hAnsi="Simsun"/>
          <w:color w:val="000000"/>
          <w:sz w:val="18"/>
          <w:szCs w:val="18"/>
        </w:rPr>
        <w:br/>
      </w:r>
      <w:r>
        <w:rPr>
          <w:rFonts w:ascii="Simsun" w:hAnsi="Simsun"/>
          <w:color w:val="000000"/>
          <w:sz w:val="18"/>
          <w:szCs w:val="18"/>
        </w:rPr>
        <w:t>有前款所</w:t>
      </w:r>
      <w:proofErr w:type="gramStart"/>
      <w:r>
        <w:rPr>
          <w:rFonts w:ascii="Simsun" w:hAnsi="Simsun"/>
          <w:color w:val="000000"/>
          <w:sz w:val="18"/>
          <w:szCs w:val="18"/>
        </w:rPr>
        <w:t>列行</w:t>
      </w:r>
      <w:proofErr w:type="gramEnd"/>
      <w:r>
        <w:rPr>
          <w:rFonts w:ascii="Simsun" w:hAnsi="Simsun"/>
          <w:color w:val="000000"/>
          <w:sz w:val="18"/>
          <w:szCs w:val="18"/>
        </w:rPr>
        <w:t>为之一的，由财政部门会同有关部门责令改正，违规资金应予追回，并视情况予以通报批评。对直接负责的主管人员和相关负责人，由其所在单位按规定给予行政处分。对于严重违纪的行为，纪检监察部门按照党纪政纪予以处理。行为涉嫌违法的，移交司法机关处理。</w:t>
      </w:r>
    </w:p>
    <w:p w:rsidR="00916061" w:rsidRDefault="00916061" w:rsidP="00916061">
      <w:pPr>
        <w:pStyle w:val="a3"/>
        <w:spacing w:before="450" w:beforeAutospacing="0" w:after="450" w:afterAutospacing="0" w:line="360" w:lineRule="atLeast"/>
        <w:rPr>
          <w:rFonts w:ascii="Simsun" w:hAnsi="Simsun"/>
          <w:color w:val="000000"/>
          <w:sz w:val="18"/>
          <w:szCs w:val="18"/>
        </w:rPr>
      </w:pPr>
      <w:r>
        <w:rPr>
          <w:rFonts w:ascii="Simsun" w:hAnsi="Simsun"/>
          <w:color w:val="000000"/>
          <w:sz w:val="18"/>
          <w:szCs w:val="18"/>
        </w:rPr>
        <w:t>第七章</w:t>
      </w:r>
      <w:r>
        <w:rPr>
          <w:rFonts w:ascii="Simsun" w:hAnsi="Simsun"/>
          <w:color w:val="000000"/>
          <w:sz w:val="18"/>
          <w:szCs w:val="18"/>
        </w:rPr>
        <w:t xml:space="preserve"> </w:t>
      </w:r>
      <w:r>
        <w:rPr>
          <w:rFonts w:ascii="Simsun" w:hAnsi="Simsun"/>
          <w:color w:val="000000"/>
          <w:sz w:val="18"/>
          <w:szCs w:val="18"/>
        </w:rPr>
        <w:t>附</w:t>
      </w:r>
      <w:r>
        <w:rPr>
          <w:rFonts w:ascii="Simsun" w:hAnsi="Simsun"/>
          <w:color w:val="000000"/>
          <w:sz w:val="18"/>
          <w:szCs w:val="18"/>
        </w:rPr>
        <w:t xml:space="preserve">  </w:t>
      </w:r>
      <w:r>
        <w:rPr>
          <w:rFonts w:ascii="Simsun" w:hAnsi="Simsun"/>
          <w:color w:val="000000"/>
          <w:sz w:val="18"/>
          <w:szCs w:val="18"/>
        </w:rPr>
        <w:t>则</w:t>
      </w:r>
      <w:r>
        <w:rPr>
          <w:rFonts w:ascii="Simsun" w:hAnsi="Simsun"/>
          <w:color w:val="000000"/>
          <w:sz w:val="18"/>
          <w:szCs w:val="18"/>
        </w:rPr>
        <w:br/>
      </w:r>
      <w:r>
        <w:rPr>
          <w:rFonts w:ascii="Simsun" w:hAnsi="Simsun"/>
          <w:color w:val="000000"/>
          <w:sz w:val="18"/>
          <w:szCs w:val="18"/>
        </w:rPr>
        <w:t>第二十六条</w:t>
      </w:r>
      <w:r>
        <w:rPr>
          <w:rFonts w:ascii="Simsun" w:hAnsi="Simsun"/>
          <w:color w:val="000000"/>
          <w:sz w:val="18"/>
          <w:szCs w:val="18"/>
        </w:rPr>
        <w:t xml:space="preserve"> </w:t>
      </w:r>
      <w:r>
        <w:rPr>
          <w:rFonts w:ascii="Simsun" w:hAnsi="Simsun"/>
          <w:color w:val="000000"/>
          <w:sz w:val="18"/>
          <w:szCs w:val="18"/>
        </w:rPr>
        <w:t>工作人员出差结束后应当及时办理报销手续。差旅费报销时应当提供出差审批单、机票、车票、住宿费发票等凭证。住宿费、机票支出等按规定用公务卡结算。</w:t>
      </w:r>
      <w:r>
        <w:rPr>
          <w:rFonts w:ascii="Simsun" w:hAnsi="Simsun"/>
          <w:color w:val="000000"/>
          <w:sz w:val="18"/>
          <w:szCs w:val="18"/>
        </w:rPr>
        <w:br/>
      </w:r>
      <w:r>
        <w:rPr>
          <w:rFonts w:ascii="Simsun" w:hAnsi="Simsun"/>
          <w:color w:val="000000"/>
          <w:sz w:val="18"/>
          <w:szCs w:val="18"/>
        </w:rPr>
        <w:t>第二十七条</w:t>
      </w:r>
      <w:r>
        <w:rPr>
          <w:rFonts w:ascii="Simsun" w:hAnsi="Simsun"/>
          <w:color w:val="000000"/>
          <w:sz w:val="18"/>
          <w:szCs w:val="18"/>
        </w:rPr>
        <w:t xml:space="preserve"> </w:t>
      </w:r>
      <w:r>
        <w:rPr>
          <w:rFonts w:ascii="Simsun" w:hAnsi="Simsun"/>
          <w:color w:val="000000"/>
          <w:sz w:val="18"/>
          <w:szCs w:val="18"/>
        </w:rPr>
        <w:t>工作人员趁出差或调动工作之便，就近回家探亲或途中经停的，其绕道车、船费，扣除出差直线单程车、船费，超支部分由个人自理。绕道、在家或经</w:t>
      </w:r>
      <w:proofErr w:type="gramStart"/>
      <w:r>
        <w:rPr>
          <w:rFonts w:ascii="Simsun" w:hAnsi="Simsun"/>
          <w:color w:val="000000"/>
          <w:sz w:val="18"/>
          <w:szCs w:val="18"/>
        </w:rPr>
        <w:t>停期间</w:t>
      </w:r>
      <w:proofErr w:type="gramEnd"/>
      <w:r>
        <w:rPr>
          <w:rFonts w:ascii="Simsun" w:hAnsi="Simsun"/>
          <w:color w:val="000000"/>
          <w:sz w:val="18"/>
          <w:szCs w:val="18"/>
        </w:rPr>
        <w:t>不予报销住宿费，不发放伙食补助和市内交通费。</w:t>
      </w:r>
      <w:r>
        <w:rPr>
          <w:rFonts w:ascii="Simsun" w:hAnsi="Simsun"/>
          <w:color w:val="000000"/>
          <w:sz w:val="18"/>
          <w:szCs w:val="18"/>
        </w:rPr>
        <w:br/>
      </w:r>
      <w:r>
        <w:rPr>
          <w:rFonts w:ascii="Simsun" w:hAnsi="Simsun"/>
          <w:color w:val="000000"/>
          <w:sz w:val="18"/>
          <w:szCs w:val="18"/>
        </w:rPr>
        <w:t>第二十八条</w:t>
      </w:r>
      <w:r>
        <w:rPr>
          <w:rFonts w:ascii="Simsun" w:hAnsi="Simsun"/>
          <w:color w:val="000000"/>
          <w:sz w:val="18"/>
          <w:szCs w:val="18"/>
        </w:rPr>
        <w:t xml:space="preserve"> </w:t>
      </w:r>
      <w:r>
        <w:rPr>
          <w:rFonts w:ascii="Simsun" w:hAnsi="Simsun"/>
          <w:color w:val="000000"/>
          <w:sz w:val="18"/>
          <w:szCs w:val="18"/>
        </w:rPr>
        <w:t>赴北京出差人员，入住新疆办事处新疆饭店和新疆大厦的，住宿标准按照本办法执行。</w:t>
      </w:r>
      <w:r>
        <w:rPr>
          <w:rFonts w:ascii="Simsun" w:hAnsi="Simsun"/>
          <w:color w:val="000000"/>
          <w:sz w:val="18"/>
          <w:szCs w:val="18"/>
        </w:rPr>
        <w:br/>
      </w:r>
      <w:r>
        <w:rPr>
          <w:rFonts w:ascii="Simsun" w:hAnsi="Simsun"/>
          <w:color w:val="000000"/>
          <w:sz w:val="18"/>
          <w:szCs w:val="18"/>
        </w:rPr>
        <w:t>第二十九条</w:t>
      </w:r>
      <w:r>
        <w:rPr>
          <w:rFonts w:ascii="Simsun" w:hAnsi="Simsun"/>
          <w:color w:val="000000"/>
          <w:sz w:val="18"/>
          <w:szCs w:val="18"/>
        </w:rPr>
        <w:t xml:space="preserve"> </w:t>
      </w:r>
      <w:r>
        <w:rPr>
          <w:rFonts w:ascii="Simsun" w:hAnsi="Simsun"/>
          <w:color w:val="000000"/>
          <w:sz w:val="18"/>
          <w:szCs w:val="18"/>
        </w:rPr>
        <w:t>本办法所指出差人员，均包含汽车驾驶员。</w:t>
      </w:r>
      <w:r>
        <w:rPr>
          <w:rFonts w:ascii="Simsun" w:hAnsi="Simsun"/>
          <w:color w:val="000000"/>
          <w:sz w:val="18"/>
          <w:szCs w:val="18"/>
        </w:rPr>
        <w:br/>
      </w:r>
      <w:r>
        <w:rPr>
          <w:rFonts w:ascii="Simsun" w:hAnsi="Simsun"/>
          <w:color w:val="000000"/>
          <w:sz w:val="18"/>
          <w:szCs w:val="18"/>
        </w:rPr>
        <w:t>第三十条</w:t>
      </w:r>
      <w:r>
        <w:rPr>
          <w:rFonts w:ascii="Simsun" w:hAnsi="Simsun"/>
          <w:color w:val="000000"/>
          <w:sz w:val="18"/>
          <w:szCs w:val="18"/>
        </w:rPr>
        <w:t xml:space="preserve"> </w:t>
      </w:r>
      <w:r>
        <w:rPr>
          <w:rFonts w:ascii="Simsun" w:hAnsi="Simsun"/>
          <w:color w:val="000000"/>
          <w:sz w:val="18"/>
          <w:szCs w:val="18"/>
        </w:rPr>
        <w:t>本办法在执行中如遇未尽事宜，另行研究制定补充规定。</w:t>
      </w:r>
      <w:r>
        <w:rPr>
          <w:rFonts w:ascii="Simsun" w:hAnsi="Simsun"/>
          <w:color w:val="000000"/>
          <w:sz w:val="18"/>
          <w:szCs w:val="18"/>
        </w:rPr>
        <w:br/>
      </w:r>
      <w:r>
        <w:rPr>
          <w:rFonts w:ascii="Simsun" w:hAnsi="Simsun"/>
          <w:color w:val="000000"/>
          <w:sz w:val="18"/>
          <w:szCs w:val="18"/>
        </w:rPr>
        <w:t>第三十一条</w:t>
      </w:r>
      <w:r>
        <w:rPr>
          <w:rFonts w:ascii="Simsun" w:hAnsi="Simsun"/>
          <w:color w:val="000000"/>
          <w:sz w:val="18"/>
          <w:szCs w:val="18"/>
        </w:rPr>
        <w:t xml:space="preserve"> </w:t>
      </w:r>
      <w:r>
        <w:rPr>
          <w:rFonts w:ascii="Simsun" w:hAnsi="Simsun"/>
          <w:color w:val="000000"/>
          <w:sz w:val="18"/>
          <w:szCs w:val="18"/>
        </w:rPr>
        <w:t>各地（州、市）可根据本规定结合当地实际，制定实施细则。但相关支出标准上限不得超过本办法的规定。各地所定标准需报自治区财政厅核定后执行。</w:t>
      </w:r>
      <w:r>
        <w:rPr>
          <w:rFonts w:ascii="Simsun" w:hAnsi="Simsun"/>
          <w:color w:val="000000"/>
          <w:sz w:val="18"/>
          <w:szCs w:val="18"/>
        </w:rPr>
        <w:br/>
      </w:r>
      <w:r>
        <w:rPr>
          <w:rFonts w:ascii="Simsun" w:hAnsi="Simsun"/>
          <w:color w:val="000000"/>
          <w:sz w:val="18"/>
          <w:szCs w:val="18"/>
        </w:rPr>
        <w:t>第三十二条</w:t>
      </w:r>
      <w:r>
        <w:rPr>
          <w:rFonts w:ascii="Simsun" w:hAnsi="Simsun"/>
          <w:color w:val="000000"/>
          <w:sz w:val="18"/>
          <w:szCs w:val="18"/>
        </w:rPr>
        <w:t xml:space="preserve"> </w:t>
      </w:r>
      <w:r>
        <w:rPr>
          <w:rFonts w:ascii="Simsun" w:hAnsi="Simsun"/>
          <w:color w:val="000000"/>
          <w:sz w:val="18"/>
          <w:szCs w:val="18"/>
        </w:rPr>
        <w:t>本办法由自治区财政厅负责解释。</w:t>
      </w:r>
      <w:r>
        <w:rPr>
          <w:rFonts w:ascii="Simsun" w:hAnsi="Simsun"/>
          <w:color w:val="000000"/>
          <w:sz w:val="18"/>
          <w:szCs w:val="18"/>
        </w:rPr>
        <w:br/>
      </w:r>
      <w:r>
        <w:rPr>
          <w:rFonts w:ascii="Simsun" w:hAnsi="Simsun"/>
          <w:color w:val="000000"/>
          <w:sz w:val="18"/>
          <w:szCs w:val="18"/>
        </w:rPr>
        <w:t>第三十三条</w:t>
      </w:r>
      <w:r>
        <w:rPr>
          <w:rFonts w:ascii="Simsun" w:hAnsi="Simsun"/>
          <w:color w:val="000000"/>
          <w:sz w:val="18"/>
          <w:szCs w:val="18"/>
        </w:rPr>
        <w:t xml:space="preserve"> </w:t>
      </w:r>
      <w:r>
        <w:rPr>
          <w:rFonts w:ascii="Simsun" w:hAnsi="Simsun"/>
          <w:color w:val="000000"/>
          <w:sz w:val="18"/>
          <w:szCs w:val="18"/>
        </w:rPr>
        <w:t>本办法自发布之日起执行。原制定的《关于自治区党政机关事业单位工作人员差旅费开支规定》（</w:t>
      </w:r>
      <w:proofErr w:type="gramStart"/>
      <w:r>
        <w:rPr>
          <w:rFonts w:ascii="Simsun" w:hAnsi="Simsun"/>
          <w:color w:val="000000"/>
          <w:sz w:val="18"/>
          <w:szCs w:val="18"/>
        </w:rPr>
        <w:t>新财行〔</w:t>
      </w:r>
      <w:r>
        <w:rPr>
          <w:rFonts w:ascii="Simsun" w:hAnsi="Simsun"/>
          <w:color w:val="000000"/>
          <w:sz w:val="18"/>
          <w:szCs w:val="18"/>
        </w:rPr>
        <w:t>2005</w:t>
      </w:r>
      <w:r>
        <w:rPr>
          <w:rFonts w:ascii="Simsun" w:hAnsi="Simsun"/>
          <w:color w:val="000000"/>
          <w:sz w:val="18"/>
          <w:szCs w:val="18"/>
        </w:rPr>
        <w:t>〕</w:t>
      </w:r>
      <w:proofErr w:type="gramEnd"/>
      <w:r>
        <w:rPr>
          <w:rFonts w:ascii="Simsun" w:hAnsi="Simsun"/>
          <w:color w:val="000000"/>
          <w:sz w:val="18"/>
          <w:szCs w:val="18"/>
        </w:rPr>
        <w:t>148</w:t>
      </w:r>
      <w:r>
        <w:rPr>
          <w:rFonts w:ascii="Simsun" w:hAnsi="Simsun"/>
          <w:color w:val="000000"/>
          <w:sz w:val="18"/>
          <w:szCs w:val="18"/>
        </w:rPr>
        <w:t>号）、《关于因公赴京出差人员入住新疆办事处住宿标准的通知》（新政办函〔</w:t>
      </w:r>
      <w:r>
        <w:rPr>
          <w:rFonts w:ascii="Simsun" w:hAnsi="Simsun"/>
          <w:color w:val="000000"/>
          <w:sz w:val="18"/>
          <w:szCs w:val="18"/>
        </w:rPr>
        <w:t>2005</w:t>
      </w:r>
      <w:r>
        <w:rPr>
          <w:rFonts w:ascii="Simsun" w:hAnsi="Simsun"/>
          <w:color w:val="000000"/>
          <w:sz w:val="18"/>
          <w:szCs w:val="18"/>
        </w:rPr>
        <w:t>〕</w:t>
      </w:r>
      <w:r>
        <w:rPr>
          <w:rFonts w:ascii="Simsun" w:hAnsi="Simsun"/>
          <w:color w:val="000000"/>
          <w:sz w:val="18"/>
          <w:szCs w:val="18"/>
        </w:rPr>
        <w:t>20</w:t>
      </w:r>
      <w:r>
        <w:rPr>
          <w:rFonts w:ascii="Simsun" w:hAnsi="Simsun"/>
          <w:color w:val="000000"/>
          <w:sz w:val="18"/>
          <w:szCs w:val="18"/>
        </w:rPr>
        <w:t>号）、《关于因公赴京出差人员入住新疆大厦住宿标准的通知》（新政办函〔</w:t>
      </w:r>
      <w:r>
        <w:rPr>
          <w:rFonts w:ascii="Simsun" w:hAnsi="Simsun"/>
          <w:color w:val="000000"/>
          <w:sz w:val="18"/>
          <w:szCs w:val="18"/>
        </w:rPr>
        <w:t>2012</w:t>
      </w:r>
      <w:r>
        <w:rPr>
          <w:rFonts w:ascii="Simsun" w:hAnsi="Simsun"/>
          <w:color w:val="000000"/>
          <w:sz w:val="18"/>
          <w:szCs w:val="18"/>
        </w:rPr>
        <w:t>〕</w:t>
      </w:r>
      <w:r>
        <w:rPr>
          <w:rFonts w:ascii="Simsun" w:hAnsi="Simsun"/>
          <w:color w:val="000000"/>
          <w:sz w:val="18"/>
          <w:szCs w:val="18"/>
        </w:rPr>
        <w:t>24</w:t>
      </w:r>
      <w:r>
        <w:rPr>
          <w:rFonts w:ascii="Simsun" w:hAnsi="Simsun"/>
          <w:color w:val="000000"/>
          <w:sz w:val="18"/>
          <w:szCs w:val="18"/>
        </w:rPr>
        <w:t>号）同时废止。</w:t>
      </w:r>
    </w:p>
    <w:p w:rsidR="00916061" w:rsidRDefault="00916061" w:rsidP="00916061">
      <w:pPr>
        <w:pStyle w:val="a3"/>
        <w:spacing w:before="450" w:beforeAutospacing="0" w:after="450" w:afterAutospacing="0" w:line="360" w:lineRule="atLeast"/>
        <w:rPr>
          <w:rFonts w:ascii="Simsun" w:hAnsi="Simsun"/>
          <w:color w:val="000000"/>
          <w:sz w:val="18"/>
          <w:szCs w:val="18"/>
        </w:rPr>
      </w:pPr>
      <w:r>
        <w:rPr>
          <w:rFonts w:ascii="Simsun" w:hAnsi="Simsun"/>
          <w:color w:val="000000"/>
          <w:sz w:val="18"/>
          <w:szCs w:val="18"/>
        </w:rPr>
        <w:br/>
      </w:r>
      <w:r>
        <w:rPr>
          <w:rFonts w:ascii="Simsun" w:hAnsi="Simsun"/>
          <w:color w:val="000000"/>
          <w:sz w:val="18"/>
          <w:szCs w:val="18"/>
        </w:rPr>
        <w:t>新疆维吾尔自治区人民政府办公厅</w:t>
      </w:r>
      <w:r>
        <w:rPr>
          <w:rFonts w:ascii="Simsun" w:hAnsi="Simsun"/>
          <w:color w:val="000000"/>
          <w:sz w:val="18"/>
          <w:szCs w:val="18"/>
        </w:rPr>
        <w:t>2014</w:t>
      </w:r>
      <w:r>
        <w:rPr>
          <w:rFonts w:ascii="Simsun" w:hAnsi="Simsun"/>
          <w:color w:val="000000"/>
          <w:sz w:val="18"/>
          <w:szCs w:val="18"/>
        </w:rPr>
        <w:t>年</w:t>
      </w:r>
      <w:r>
        <w:rPr>
          <w:rFonts w:ascii="Simsun" w:hAnsi="Simsun"/>
          <w:color w:val="000000"/>
          <w:sz w:val="18"/>
          <w:szCs w:val="18"/>
        </w:rPr>
        <w:t>7</w:t>
      </w:r>
      <w:r>
        <w:rPr>
          <w:rFonts w:ascii="Simsun" w:hAnsi="Simsun"/>
          <w:color w:val="000000"/>
          <w:sz w:val="18"/>
          <w:szCs w:val="18"/>
        </w:rPr>
        <w:t>月</w:t>
      </w:r>
      <w:r>
        <w:rPr>
          <w:rFonts w:ascii="Simsun" w:hAnsi="Simsun"/>
          <w:color w:val="000000"/>
          <w:sz w:val="18"/>
          <w:szCs w:val="18"/>
        </w:rPr>
        <w:t>3</w:t>
      </w:r>
      <w:r>
        <w:rPr>
          <w:rFonts w:ascii="Simsun" w:hAnsi="Simsun"/>
          <w:color w:val="000000"/>
          <w:sz w:val="18"/>
          <w:szCs w:val="18"/>
        </w:rPr>
        <w:t>日印发</w:t>
      </w:r>
      <w:r>
        <w:rPr>
          <w:rFonts w:ascii="Simsun" w:hAnsi="Simsun"/>
          <w:color w:val="000000"/>
          <w:sz w:val="18"/>
          <w:szCs w:val="18"/>
        </w:rPr>
        <w:br/>
      </w:r>
      <w:r>
        <w:rPr>
          <w:rFonts w:ascii="Simsun" w:hAnsi="Simsun"/>
          <w:color w:val="000000"/>
          <w:sz w:val="18"/>
          <w:szCs w:val="18"/>
        </w:rPr>
        <w:t xml:space="preserve">　</w:t>
      </w:r>
    </w:p>
    <w:p w:rsidR="006B3B49" w:rsidRDefault="006B3B49">
      <w:pPr>
        <w:rPr>
          <w:rFonts w:hint="eastAsia"/>
        </w:rPr>
      </w:pPr>
    </w:p>
    <w:p w:rsidR="00916061" w:rsidRDefault="00916061">
      <w:pPr>
        <w:rPr>
          <w:rFonts w:hint="eastAsia"/>
        </w:rPr>
      </w:pPr>
    </w:p>
    <w:p w:rsidR="00916061" w:rsidRDefault="00916061">
      <w:pPr>
        <w:rPr>
          <w:rFonts w:hint="eastAsia"/>
        </w:rPr>
      </w:pPr>
    </w:p>
    <w:p w:rsidR="00916061" w:rsidRDefault="00916061">
      <w:pPr>
        <w:rPr>
          <w:rFonts w:hint="eastAsia"/>
        </w:rPr>
      </w:pPr>
    </w:p>
    <w:p w:rsidR="00916061" w:rsidRDefault="00916061">
      <w:pPr>
        <w:rPr>
          <w:rFonts w:hint="eastAsia"/>
        </w:rPr>
      </w:pPr>
    </w:p>
    <w:p w:rsidR="00916061" w:rsidRDefault="00916061">
      <w:pPr>
        <w:rPr>
          <w:rFonts w:hint="eastAsia"/>
        </w:rPr>
      </w:pPr>
    </w:p>
    <w:p w:rsidR="00916061" w:rsidRDefault="00916061">
      <w:pPr>
        <w:rPr>
          <w:rFonts w:hint="eastAsia"/>
        </w:rPr>
      </w:pPr>
    </w:p>
    <w:p w:rsidR="00916061" w:rsidRDefault="00916061">
      <w:pPr>
        <w:rPr>
          <w:rFonts w:hint="eastAsia"/>
        </w:rPr>
      </w:pPr>
    </w:p>
    <w:p w:rsidR="00916061" w:rsidRDefault="00916061">
      <w:pPr>
        <w:rPr>
          <w:rFonts w:hint="eastAsia"/>
        </w:rPr>
      </w:pPr>
    </w:p>
    <w:p w:rsidR="00916061" w:rsidRDefault="00916061">
      <w:pPr>
        <w:rPr>
          <w:rFonts w:hint="eastAsia"/>
        </w:rPr>
      </w:pPr>
    </w:p>
    <w:p w:rsidR="00916061" w:rsidRDefault="00916061">
      <w:pPr>
        <w:rPr>
          <w:rFonts w:hint="eastAsia"/>
        </w:rPr>
      </w:pPr>
    </w:p>
    <w:p w:rsidR="00916061" w:rsidRDefault="00916061">
      <w:pPr>
        <w:rPr>
          <w:rFonts w:hint="eastAsia"/>
        </w:rPr>
      </w:pPr>
    </w:p>
    <w:tbl>
      <w:tblPr>
        <w:tblW w:w="5000" w:type="pct"/>
        <w:jc w:val="center"/>
        <w:tblLook w:val="04A0"/>
      </w:tblPr>
      <w:tblGrid>
        <w:gridCol w:w="2513"/>
        <w:gridCol w:w="913"/>
        <w:gridCol w:w="2622"/>
        <w:gridCol w:w="1008"/>
        <w:gridCol w:w="1466"/>
      </w:tblGrid>
      <w:tr w:rsidR="00916061" w:rsidTr="00916061">
        <w:trPr>
          <w:trHeight w:val="641"/>
          <w:jc w:val="center"/>
        </w:trPr>
        <w:tc>
          <w:tcPr>
            <w:tcW w:w="5000" w:type="pct"/>
            <w:gridSpan w:val="5"/>
            <w:tcBorders>
              <w:top w:val="nil"/>
              <w:left w:val="nil"/>
              <w:bottom w:val="nil"/>
              <w:right w:val="nil"/>
            </w:tcBorders>
            <w:noWrap/>
            <w:vAlign w:val="bottom"/>
          </w:tcPr>
          <w:p w:rsidR="00916061" w:rsidRDefault="00916061">
            <w:pPr>
              <w:widowControl/>
              <w:jc w:val="left"/>
              <w:rPr>
                <w:rFonts w:ascii="宋体" w:hAnsi="宋体" w:cs="宋体"/>
                <w:kern w:val="0"/>
                <w:sz w:val="24"/>
                <w:szCs w:val="24"/>
              </w:rPr>
            </w:pPr>
          </w:p>
          <w:tbl>
            <w:tblPr>
              <w:tblW w:w="13837" w:type="dxa"/>
              <w:tblInd w:w="108" w:type="dxa"/>
              <w:tblCellMar>
                <w:left w:w="0" w:type="dxa"/>
                <w:right w:w="0" w:type="dxa"/>
              </w:tblCellMar>
              <w:tblLook w:val="04A0"/>
            </w:tblPr>
            <w:tblGrid>
              <w:gridCol w:w="8198"/>
            </w:tblGrid>
            <w:tr w:rsidR="00916061" w:rsidTr="00916061">
              <w:trPr>
                <w:trHeight w:val="641"/>
              </w:trPr>
              <w:tc>
                <w:tcPr>
                  <w:tcW w:w="13837" w:type="dxa"/>
                  <w:tcBorders>
                    <w:top w:val="nil"/>
                    <w:left w:val="nil"/>
                    <w:bottom w:val="single" w:sz="4" w:space="0" w:color="auto"/>
                    <w:right w:val="nil"/>
                  </w:tcBorders>
                  <w:noWrap/>
                  <w:vAlign w:val="center"/>
                  <w:hideMark/>
                </w:tcPr>
                <w:p w:rsidR="00916061" w:rsidRDefault="00916061">
                  <w:pPr>
                    <w:widowControl/>
                    <w:jc w:val="center"/>
                    <w:rPr>
                      <w:rFonts w:ascii="方正小标宋_GBK" w:eastAsia="宋体" w:hAnsi="宋体" w:cs="宋体"/>
                      <w:kern w:val="0"/>
                      <w:sz w:val="36"/>
                      <w:szCs w:val="36"/>
                    </w:rPr>
                  </w:pPr>
                  <w:r>
                    <w:rPr>
                      <w:noProof/>
                      <w:kern w:val="0"/>
                      <w:sz w:val="24"/>
                      <w:szCs w:val="24"/>
                    </w:rPr>
                    <w:drawing>
                      <wp:inline distT="0" distB="0" distL="0" distR="0">
                        <wp:extent cx="2305050" cy="1009650"/>
                        <wp:effectExtent l="19050" t="0" r="0" b="0"/>
                        <wp:docPr id="1" name="图片 1" descr="C:\Users\jg\AppData\Local\Temp\ksohtml\wps569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ppData\Local\Temp\ksohtml\wps569C.tmp.png"/>
                                <pic:cNvPicPr>
                                  <a:picLocks noChangeAspect="1" noChangeArrowheads="1"/>
                                </pic:cNvPicPr>
                              </pic:nvPicPr>
                              <pic:blipFill>
                                <a:blip r:embed="rId4"/>
                                <a:srcRect/>
                                <a:stretch>
                                  <a:fillRect/>
                                </a:stretch>
                              </pic:blipFill>
                              <pic:spPr bwMode="auto">
                                <a:xfrm>
                                  <a:off x="0" y="0"/>
                                  <a:ext cx="2305050" cy="1009650"/>
                                </a:xfrm>
                                <a:prstGeom prst="rect">
                                  <a:avLst/>
                                </a:prstGeom>
                                <a:noFill/>
                                <a:ln w="9525">
                                  <a:noFill/>
                                  <a:miter lim="800000"/>
                                  <a:headEnd/>
                                  <a:tailEnd/>
                                </a:ln>
                              </pic:spPr>
                            </pic:pic>
                          </a:graphicData>
                        </a:graphic>
                      </wp:inline>
                    </w:drawing>
                  </w:r>
                  <w:r>
                    <w:rPr>
                      <w:noProof/>
                      <w:kern w:val="0"/>
                      <w:sz w:val="24"/>
                      <w:szCs w:val="24"/>
                    </w:rPr>
                    <w:drawing>
                      <wp:inline distT="0" distB="0" distL="0" distR="0">
                        <wp:extent cx="1047750" cy="1419225"/>
                        <wp:effectExtent l="19050" t="0" r="0" b="0"/>
                        <wp:docPr id="2" name="图片 2" descr="C:\Users\jg\AppData\Local\Temp\ksohtml\wps569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g\AppData\Local\Temp\ksohtml\wps569D.tmp.png"/>
                                <pic:cNvPicPr>
                                  <a:picLocks noChangeAspect="1" noChangeArrowheads="1"/>
                                </pic:cNvPicPr>
                              </pic:nvPicPr>
                              <pic:blipFill>
                                <a:blip r:embed="rId5"/>
                                <a:srcRect/>
                                <a:stretch>
                                  <a:fillRect/>
                                </a:stretch>
                              </pic:blipFill>
                              <pic:spPr bwMode="auto">
                                <a:xfrm>
                                  <a:off x="0" y="0"/>
                                  <a:ext cx="1047750" cy="1419225"/>
                                </a:xfrm>
                                <a:prstGeom prst="rect">
                                  <a:avLst/>
                                </a:prstGeom>
                                <a:noFill/>
                                <a:ln w="9525">
                                  <a:noFill/>
                                  <a:miter lim="800000"/>
                                  <a:headEnd/>
                                  <a:tailEnd/>
                                </a:ln>
                              </pic:spPr>
                            </pic:pic>
                          </a:graphicData>
                        </a:graphic>
                      </wp:inline>
                    </w:drawing>
                  </w:r>
                  <w:r>
                    <w:rPr>
                      <w:rFonts w:ascii="方正小标宋_GBK"/>
                      <w:kern w:val="0"/>
                      <w:sz w:val="36"/>
                      <w:szCs w:val="36"/>
                    </w:rPr>
                    <w:t>自治区党政机关事业单位工作人员出差期间乘坐交通工具标准表</w:t>
                  </w:r>
                </w:p>
              </w:tc>
            </w:tr>
          </w:tbl>
          <w:p w:rsidR="00916061" w:rsidRDefault="00916061">
            <w:pPr>
              <w:widowControl/>
              <w:jc w:val="left"/>
              <w:rPr>
                <w:rFonts w:ascii="宋体" w:eastAsia="宋体" w:hAnsi="宋体" w:cs="宋体"/>
                <w:kern w:val="0"/>
                <w:sz w:val="24"/>
                <w:szCs w:val="24"/>
              </w:rPr>
            </w:pPr>
          </w:p>
        </w:tc>
      </w:tr>
      <w:tr w:rsidR="00916061" w:rsidTr="00916061">
        <w:trPr>
          <w:trHeight w:val="603"/>
          <w:jc w:val="center"/>
        </w:trPr>
        <w:tc>
          <w:tcPr>
            <w:tcW w:w="1268" w:type="pct"/>
            <w:tcBorders>
              <w:top w:val="nil"/>
              <w:left w:val="single" w:sz="4" w:space="0" w:color="auto"/>
              <w:bottom w:val="nil"/>
              <w:right w:val="single" w:sz="4" w:space="0" w:color="auto"/>
            </w:tcBorders>
            <w:vAlign w:val="center"/>
            <w:hideMark/>
          </w:tcPr>
          <w:p w:rsidR="00916061" w:rsidRDefault="00916061">
            <w:pPr>
              <w:widowControl/>
              <w:jc w:val="center"/>
              <w:rPr>
                <w:rFonts w:ascii="仿宋_GB2312" w:hAnsi="宋体" w:cs="宋体"/>
                <w:b/>
                <w:bCs/>
                <w:kern w:val="0"/>
                <w:sz w:val="22"/>
              </w:rPr>
            </w:pPr>
            <w:r>
              <w:rPr>
                <w:rFonts w:ascii="仿宋_GB2312"/>
                <w:b/>
                <w:bCs/>
                <w:kern w:val="0"/>
                <w:sz w:val="22"/>
              </w:rPr>
              <w:t xml:space="preserve">                   </w:t>
            </w:r>
            <w:r>
              <w:rPr>
                <w:rFonts w:ascii="仿宋_GB2312"/>
                <w:b/>
                <w:bCs/>
                <w:kern w:val="0"/>
                <w:sz w:val="22"/>
              </w:rPr>
              <w:t>项</w:t>
            </w:r>
            <w:r>
              <w:rPr>
                <w:rFonts w:ascii="仿宋_GB2312"/>
                <w:b/>
                <w:bCs/>
                <w:kern w:val="0"/>
                <w:sz w:val="22"/>
              </w:rPr>
              <w:t xml:space="preserve"> </w:t>
            </w:r>
            <w:r>
              <w:rPr>
                <w:rFonts w:ascii="仿宋_GB2312"/>
                <w:b/>
                <w:bCs/>
                <w:kern w:val="0"/>
                <w:sz w:val="22"/>
              </w:rPr>
              <w:t>目</w:t>
            </w:r>
            <w:r>
              <w:rPr>
                <w:rFonts w:ascii="仿宋_GB2312"/>
                <w:b/>
                <w:bCs/>
                <w:kern w:val="0"/>
                <w:sz w:val="22"/>
              </w:rPr>
              <w:t xml:space="preserve">   </w:t>
            </w:r>
          </w:p>
          <w:p w:rsidR="00916061" w:rsidRDefault="00916061">
            <w:pPr>
              <w:widowControl/>
              <w:jc w:val="left"/>
              <w:rPr>
                <w:rFonts w:ascii="仿宋_GB2312"/>
                <w:b/>
                <w:bCs/>
                <w:kern w:val="0"/>
                <w:sz w:val="22"/>
              </w:rPr>
            </w:pPr>
            <w:r>
              <w:rPr>
                <w:rFonts w:ascii="仿宋_GB2312"/>
                <w:b/>
                <w:bCs/>
                <w:kern w:val="0"/>
                <w:sz w:val="22"/>
              </w:rPr>
              <w:t xml:space="preserve">          </w:t>
            </w:r>
            <w:r>
              <w:rPr>
                <w:rFonts w:ascii="仿宋_GB2312"/>
                <w:b/>
                <w:bCs/>
                <w:kern w:val="0"/>
                <w:sz w:val="22"/>
              </w:rPr>
              <w:t>等级标准</w:t>
            </w:r>
            <w:r>
              <w:rPr>
                <w:rFonts w:ascii="仿宋_GB2312"/>
                <w:b/>
                <w:bCs/>
                <w:kern w:val="0"/>
                <w:sz w:val="22"/>
              </w:rPr>
              <w:t xml:space="preserve">    </w:t>
            </w:r>
          </w:p>
          <w:p w:rsidR="00916061" w:rsidRDefault="00916061">
            <w:pPr>
              <w:rPr>
                <w:rFonts w:ascii="仿宋_GB2312" w:eastAsia="宋体" w:hAnsi="宋体" w:cs="宋体"/>
                <w:b/>
                <w:bCs/>
                <w:kern w:val="0"/>
                <w:sz w:val="22"/>
              </w:rPr>
            </w:pPr>
            <w:r>
              <w:rPr>
                <w:rFonts w:ascii="仿宋_GB2312"/>
                <w:b/>
                <w:bCs/>
                <w:kern w:val="0"/>
                <w:sz w:val="22"/>
              </w:rPr>
              <w:t>职务</w:t>
            </w:r>
          </w:p>
        </w:tc>
        <w:tc>
          <w:tcPr>
            <w:tcW w:w="3732" w:type="pct"/>
            <w:gridSpan w:val="4"/>
            <w:tcBorders>
              <w:top w:val="single" w:sz="4" w:space="0" w:color="auto"/>
              <w:left w:val="nil"/>
              <w:bottom w:val="single" w:sz="4" w:space="0" w:color="auto"/>
              <w:right w:val="single" w:sz="4" w:space="0" w:color="000000"/>
            </w:tcBorders>
            <w:vAlign w:val="center"/>
            <w:hideMark/>
          </w:tcPr>
          <w:p w:rsidR="00916061" w:rsidRDefault="00916061">
            <w:pPr>
              <w:widowControl/>
              <w:jc w:val="center"/>
              <w:rPr>
                <w:rFonts w:ascii="仿宋_GB2312" w:eastAsia="宋体" w:hAnsi="宋体" w:cs="宋体"/>
                <w:b/>
                <w:bCs/>
                <w:kern w:val="0"/>
                <w:sz w:val="22"/>
              </w:rPr>
            </w:pPr>
            <w:r>
              <w:rPr>
                <w:rFonts w:ascii="仿宋_GB2312"/>
                <w:b/>
                <w:bCs/>
                <w:kern w:val="0"/>
                <w:sz w:val="22"/>
              </w:rPr>
              <w:t>乘坐交通工具分级</w:t>
            </w:r>
          </w:p>
        </w:tc>
      </w:tr>
      <w:tr w:rsidR="00916061" w:rsidTr="00916061">
        <w:trPr>
          <w:trHeight w:val="1505"/>
          <w:jc w:val="center"/>
        </w:trPr>
        <w:tc>
          <w:tcPr>
            <w:tcW w:w="1268" w:type="pct"/>
            <w:tcBorders>
              <w:top w:val="nil"/>
              <w:left w:val="single" w:sz="4" w:space="0" w:color="auto"/>
              <w:bottom w:val="single" w:sz="4" w:space="0" w:color="auto"/>
              <w:right w:val="single" w:sz="4" w:space="0" w:color="auto"/>
            </w:tcBorders>
            <w:vAlign w:val="center"/>
          </w:tcPr>
          <w:p w:rsidR="00916061" w:rsidRDefault="00916061">
            <w:pPr>
              <w:rPr>
                <w:rFonts w:ascii="仿宋_GB2312" w:eastAsia="宋体" w:hAnsi="宋体" w:cs="宋体"/>
                <w:b/>
                <w:bCs/>
                <w:kern w:val="0"/>
                <w:sz w:val="22"/>
              </w:rPr>
            </w:pPr>
          </w:p>
        </w:tc>
        <w:tc>
          <w:tcPr>
            <w:tcW w:w="540" w:type="pct"/>
            <w:tcBorders>
              <w:top w:val="nil"/>
              <w:left w:val="nil"/>
              <w:bottom w:val="single" w:sz="4" w:space="0" w:color="000000"/>
              <w:right w:val="single" w:sz="4" w:space="0" w:color="auto"/>
            </w:tcBorders>
            <w:vAlign w:val="center"/>
            <w:hideMark/>
          </w:tcPr>
          <w:p w:rsidR="00916061" w:rsidRDefault="00916061">
            <w:pPr>
              <w:widowControl/>
              <w:jc w:val="center"/>
              <w:rPr>
                <w:rFonts w:ascii="仿宋_GB2312" w:eastAsia="宋体" w:hAnsi="宋体" w:cs="宋体"/>
                <w:b/>
                <w:bCs/>
                <w:kern w:val="0"/>
                <w:sz w:val="22"/>
              </w:rPr>
            </w:pPr>
            <w:r>
              <w:rPr>
                <w:rFonts w:ascii="仿宋_GB2312"/>
                <w:b/>
                <w:bCs/>
                <w:kern w:val="0"/>
                <w:sz w:val="22"/>
              </w:rPr>
              <w:t>飞机</w:t>
            </w:r>
          </w:p>
        </w:tc>
        <w:tc>
          <w:tcPr>
            <w:tcW w:w="1679" w:type="pct"/>
            <w:tcBorders>
              <w:top w:val="nil"/>
              <w:left w:val="nil"/>
              <w:bottom w:val="single" w:sz="4" w:space="0" w:color="000000"/>
              <w:right w:val="single" w:sz="4" w:space="0" w:color="auto"/>
            </w:tcBorders>
            <w:vAlign w:val="center"/>
            <w:hideMark/>
          </w:tcPr>
          <w:p w:rsidR="00916061" w:rsidRDefault="00916061">
            <w:pPr>
              <w:widowControl/>
              <w:rPr>
                <w:rFonts w:ascii="仿宋_GB2312" w:eastAsia="宋体" w:hAnsi="宋体" w:cs="宋体"/>
                <w:b/>
                <w:bCs/>
                <w:kern w:val="0"/>
                <w:sz w:val="22"/>
              </w:rPr>
            </w:pPr>
            <w:r>
              <w:rPr>
                <w:rFonts w:ascii="仿宋_GB2312"/>
                <w:b/>
                <w:bCs/>
                <w:kern w:val="0"/>
                <w:sz w:val="22"/>
              </w:rPr>
              <w:t>火车（含高铁、动车、全列软席列车）</w:t>
            </w:r>
          </w:p>
        </w:tc>
        <w:tc>
          <w:tcPr>
            <w:tcW w:w="604" w:type="pct"/>
            <w:tcBorders>
              <w:top w:val="nil"/>
              <w:left w:val="nil"/>
              <w:bottom w:val="single" w:sz="4" w:space="0" w:color="000000"/>
              <w:right w:val="single" w:sz="4" w:space="0" w:color="auto"/>
            </w:tcBorders>
            <w:vAlign w:val="center"/>
            <w:hideMark/>
          </w:tcPr>
          <w:p w:rsidR="00916061" w:rsidRDefault="00916061">
            <w:pPr>
              <w:widowControl/>
              <w:jc w:val="center"/>
              <w:rPr>
                <w:rFonts w:ascii="仿宋_GB2312" w:eastAsia="宋体" w:hAnsi="宋体" w:cs="宋体"/>
                <w:b/>
                <w:bCs/>
                <w:kern w:val="0"/>
                <w:sz w:val="22"/>
              </w:rPr>
            </w:pPr>
            <w:r>
              <w:rPr>
                <w:rFonts w:ascii="仿宋_GB2312"/>
                <w:b/>
                <w:bCs/>
                <w:kern w:val="0"/>
                <w:sz w:val="22"/>
              </w:rPr>
              <w:t>轮船（不包括</w:t>
            </w:r>
            <w:r>
              <w:rPr>
                <w:rFonts w:ascii="仿宋_GB2312"/>
                <w:b/>
                <w:bCs/>
                <w:kern w:val="0"/>
                <w:sz w:val="22"/>
              </w:rPr>
              <w:br/>
            </w:r>
            <w:r>
              <w:rPr>
                <w:rFonts w:ascii="仿宋_GB2312"/>
                <w:b/>
                <w:bCs/>
                <w:kern w:val="0"/>
                <w:sz w:val="22"/>
              </w:rPr>
              <w:t>旅游船）</w:t>
            </w:r>
          </w:p>
        </w:tc>
        <w:tc>
          <w:tcPr>
            <w:tcW w:w="908" w:type="pct"/>
            <w:tcBorders>
              <w:top w:val="nil"/>
              <w:left w:val="nil"/>
              <w:bottom w:val="single" w:sz="4" w:space="0" w:color="000000"/>
              <w:right w:val="single" w:sz="4" w:space="0" w:color="auto"/>
            </w:tcBorders>
            <w:vAlign w:val="center"/>
            <w:hideMark/>
          </w:tcPr>
          <w:p w:rsidR="00916061" w:rsidRDefault="00916061">
            <w:pPr>
              <w:widowControl/>
              <w:jc w:val="center"/>
              <w:rPr>
                <w:rFonts w:ascii="仿宋_GB2312" w:eastAsia="宋体" w:hAnsi="宋体" w:cs="宋体"/>
                <w:b/>
                <w:bCs/>
                <w:kern w:val="0"/>
                <w:sz w:val="22"/>
              </w:rPr>
            </w:pPr>
            <w:r>
              <w:rPr>
                <w:rFonts w:ascii="仿宋_GB2312"/>
                <w:b/>
                <w:bCs/>
                <w:kern w:val="0"/>
                <w:sz w:val="22"/>
              </w:rPr>
              <w:t>汽车（不含出租</w:t>
            </w:r>
            <w:r>
              <w:rPr>
                <w:rFonts w:ascii="仿宋_GB2312"/>
                <w:b/>
                <w:bCs/>
                <w:kern w:val="0"/>
                <w:sz w:val="22"/>
              </w:rPr>
              <w:br/>
            </w:r>
            <w:r>
              <w:rPr>
                <w:rFonts w:ascii="仿宋_GB2312"/>
                <w:b/>
                <w:bCs/>
                <w:kern w:val="0"/>
                <w:sz w:val="22"/>
              </w:rPr>
              <w:t>小汽车）</w:t>
            </w:r>
          </w:p>
        </w:tc>
      </w:tr>
      <w:tr w:rsidR="00916061" w:rsidTr="00916061">
        <w:trPr>
          <w:trHeight w:val="1336"/>
          <w:jc w:val="center"/>
        </w:trPr>
        <w:tc>
          <w:tcPr>
            <w:tcW w:w="1268" w:type="pct"/>
            <w:tcBorders>
              <w:top w:val="nil"/>
              <w:left w:val="single" w:sz="4" w:space="0" w:color="auto"/>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副省级以上及相当职级人员</w:t>
            </w:r>
          </w:p>
        </w:tc>
        <w:tc>
          <w:tcPr>
            <w:tcW w:w="540" w:type="pct"/>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头等舱</w:t>
            </w:r>
            <w:r>
              <w:rPr>
                <w:rFonts w:ascii="仿宋_GB2312"/>
                <w:kern w:val="0"/>
                <w:sz w:val="22"/>
              </w:rPr>
              <w:t xml:space="preserve">  </w:t>
            </w:r>
          </w:p>
        </w:tc>
        <w:tc>
          <w:tcPr>
            <w:tcW w:w="1679" w:type="pct"/>
            <w:tcBorders>
              <w:top w:val="nil"/>
              <w:left w:val="nil"/>
              <w:bottom w:val="single" w:sz="4" w:space="0" w:color="auto"/>
              <w:right w:val="single" w:sz="4" w:space="0" w:color="auto"/>
            </w:tcBorders>
            <w:vAlign w:val="center"/>
            <w:hideMark/>
          </w:tcPr>
          <w:p w:rsidR="00916061" w:rsidRDefault="00916061">
            <w:pPr>
              <w:widowControl/>
              <w:rPr>
                <w:rFonts w:ascii="仿宋_GB2312" w:eastAsia="宋体" w:hAnsi="宋体" w:cs="宋体"/>
                <w:kern w:val="0"/>
                <w:sz w:val="22"/>
              </w:rPr>
            </w:pPr>
            <w:r>
              <w:rPr>
                <w:rFonts w:ascii="仿宋_GB2312"/>
                <w:kern w:val="0"/>
                <w:sz w:val="22"/>
              </w:rPr>
              <w:t>火车软席（软座、软卧），高铁</w:t>
            </w:r>
            <w:r>
              <w:rPr>
                <w:rFonts w:ascii="仿宋_GB2312"/>
                <w:kern w:val="0"/>
                <w:sz w:val="22"/>
              </w:rPr>
              <w:t>/</w:t>
            </w:r>
            <w:r>
              <w:rPr>
                <w:rFonts w:ascii="仿宋_GB2312"/>
                <w:kern w:val="0"/>
                <w:sz w:val="22"/>
              </w:rPr>
              <w:t>动车商务座，全列软席列车一等软座</w:t>
            </w:r>
          </w:p>
        </w:tc>
        <w:tc>
          <w:tcPr>
            <w:tcW w:w="604" w:type="pct"/>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一等舱</w:t>
            </w:r>
          </w:p>
        </w:tc>
        <w:tc>
          <w:tcPr>
            <w:tcW w:w="908" w:type="pct"/>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据实报销</w:t>
            </w:r>
          </w:p>
        </w:tc>
      </w:tr>
      <w:tr w:rsidR="00916061" w:rsidTr="00916061">
        <w:trPr>
          <w:trHeight w:val="1245"/>
          <w:jc w:val="center"/>
        </w:trPr>
        <w:tc>
          <w:tcPr>
            <w:tcW w:w="1268" w:type="pct"/>
            <w:tcBorders>
              <w:top w:val="nil"/>
              <w:left w:val="single" w:sz="4" w:space="0" w:color="auto"/>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正、副厅级及相当职级人员</w:t>
            </w:r>
          </w:p>
        </w:tc>
        <w:tc>
          <w:tcPr>
            <w:tcW w:w="540" w:type="pct"/>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经济舱</w:t>
            </w:r>
            <w:r>
              <w:rPr>
                <w:rFonts w:ascii="仿宋_GB2312"/>
                <w:kern w:val="0"/>
                <w:sz w:val="22"/>
              </w:rPr>
              <w:t xml:space="preserve"> </w:t>
            </w:r>
          </w:p>
        </w:tc>
        <w:tc>
          <w:tcPr>
            <w:tcW w:w="1679" w:type="pct"/>
            <w:tcBorders>
              <w:top w:val="nil"/>
              <w:left w:val="nil"/>
              <w:bottom w:val="single" w:sz="4" w:space="0" w:color="auto"/>
              <w:right w:val="single" w:sz="4" w:space="0" w:color="auto"/>
            </w:tcBorders>
            <w:vAlign w:val="center"/>
            <w:hideMark/>
          </w:tcPr>
          <w:p w:rsidR="00916061" w:rsidRDefault="00916061">
            <w:pPr>
              <w:widowControl/>
              <w:rPr>
                <w:rFonts w:ascii="仿宋_GB2312" w:eastAsia="宋体" w:hAnsi="宋体" w:cs="宋体"/>
                <w:kern w:val="0"/>
                <w:sz w:val="22"/>
              </w:rPr>
            </w:pPr>
            <w:r>
              <w:rPr>
                <w:rFonts w:ascii="仿宋_GB2312"/>
                <w:kern w:val="0"/>
                <w:sz w:val="22"/>
              </w:rPr>
              <w:t>火车软席（软座、软卧），高铁</w:t>
            </w:r>
            <w:r>
              <w:rPr>
                <w:rFonts w:ascii="仿宋_GB2312"/>
                <w:kern w:val="0"/>
                <w:sz w:val="22"/>
              </w:rPr>
              <w:t>/</w:t>
            </w:r>
            <w:r>
              <w:rPr>
                <w:rFonts w:ascii="仿宋_GB2312"/>
                <w:kern w:val="0"/>
                <w:sz w:val="22"/>
              </w:rPr>
              <w:t>动车一等座，全列软席列车一等软座</w:t>
            </w:r>
          </w:p>
        </w:tc>
        <w:tc>
          <w:tcPr>
            <w:tcW w:w="604" w:type="pct"/>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二等舱</w:t>
            </w:r>
          </w:p>
        </w:tc>
        <w:tc>
          <w:tcPr>
            <w:tcW w:w="908" w:type="pct"/>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据实报销</w:t>
            </w:r>
          </w:p>
        </w:tc>
      </w:tr>
      <w:tr w:rsidR="00916061" w:rsidTr="00916061">
        <w:trPr>
          <w:trHeight w:val="1336"/>
          <w:jc w:val="center"/>
        </w:trPr>
        <w:tc>
          <w:tcPr>
            <w:tcW w:w="1268" w:type="pct"/>
            <w:tcBorders>
              <w:top w:val="nil"/>
              <w:left w:val="single" w:sz="4" w:space="0" w:color="auto"/>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其他人员</w:t>
            </w:r>
          </w:p>
        </w:tc>
        <w:tc>
          <w:tcPr>
            <w:tcW w:w="540" w:type="pct"/>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经济舱</w:t>
            </w:r>
          </w:p>
        </w:tc>
        <w:tc>
          <w:tcPr>
            <w:tcW w:w="1679" w:type="pct"/>
            <w:tcBorders>
              <w:top w:val="nil"/>
              <w:left w:val="nil"/>
              <w:bottom w:val="single" w:sz="4" w:space="0" w:color="auto"/>
              <w:right w:val="single" w:sz="4" w:space="0" w:color="auto"/>
            </w:tcBorders>
            <w:vAlign w:val="center"/>
            <w:hideMark/>
          </w:tcPr>
          <w:p w:rsidR="00916061" w:rsidRDefault="00916061">
            <w:pPr>
              <w:widowControl/>
              <w:rPr>
                <w:rFonts w:ascii="仿宋_GB2312" w:eastAsia="宋体" w:hAnsi="宋体" w:cs="宋体"/>
                <w:kern w:val="0"/>
                <w:sz w:val="22"/>
              </w:rPr>
            </w:pPr>
            <w:r>
              <w:rPr>
                <w:rFonts w:ascii="仿宋_GB2312"/>
                <w:kern w:val="0"/>
                <w:sz w:val="22"/>
              </w:rPr>
              <w:t>火车软席（硬座、硬卧），高铁</w:t>
            </w:r>
            <w:r>
              <w:rPr>
                <w:rFonts w:ascii="仿宋_GB2312"/>
                <w:kern w:val="0"/>
                <w:sz w:val="22"/>
              </w:rPr>
              <w:t>/</w:t>
            </w:r>
            <w:r>
              <w:rPr>
                <w:rFonts w:ascii="仿宋_GB2312"/>
                <w:kern w:val="0"/>
                <w:sz w:val="22"/>
              </w:rPr>
              <w:t>动车二等座，全列软席列车二等软座</w:t>
            </w:r>
          </w:p>
        </w:tc>
        <w:tc>
          <w:tcPr>
            <w:tcW w:w="604" w:type="pct"/>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三等舱</w:t>
            </w:r>
          </w:p>
        </w:tc>
        <w:tc>
          <w:tcPr>
            <w:tcW w:w="908" w:type="pct"/>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据实报销</w:t>
            </w:r>
          </w:p>
        </w:tc>
      </w:tr>
      <w:tr w:rsidR="00916061" w:rsidTr="00916061">
        <w:trPr>
          <w:trHeight w:val="471"/>
          <w:jc w:val="center"/>
        </w:trPr>
        <w:tc>
          <w:tcPr>
            <w:tcW w:w="5000" w:type="pct"/>
            <w:gridSpan w:val="5"/>
            <w:tcBorders>
              <w:top w:val="nil"/>
              <w:left w:val="nil"/>
              <w:bottom w:val="nil"/>
              <w:right w:val="nil"/>
            </w:tcBorders>
            <w:vAlign w:val="center"/>
            <w:hideMark/>
          </w:tcPr>
          <w:p w:rsidR="00916061" w:rsidRDefault="00916061">
            <w:pPr>
              <w:widowControl/>
              <w:jc w:val="left"/>
              <w:rPr>
                <w:rFonts w:ascii="仿宋_GB2312" w:hint="eastAsia"/>
                <w:b/>
                <w:bCs/>
                <w:kern w:val="0"/>
                <w:sz w:val="22"/>
              </w:rPr>
            </w:pPr>
            <w:r>
              <w:rPr>
                <w:rFonts w:ascii="仿宋_GB2312"/>
                <w:b/>
                <w:bCs/>
                <w:kern w:val="0"/>
                <w:sz w:val="22"/>
              </w:rPr>
              <w:t>备注：事业单位工作人员技术职称与行政职级对应关系仅适用于本开支规定</w:t>
            </w:r>
          </w:p>
          <w:p w:rsidR="00916061" w:rsidRDefault="00916061">
            <w:pPr>
              <w:widowControl/>
              <w:jc w:val="left"/>
              <w:rPr>
                <w:rFonts w:ascii="仿宋_GB2312" w:hint="eastAsia"/>
                <w:b/>
                <w:bCs/>
                <w:kern w:val="0"/>
                <w:sz w:val="22"/>
              </w:rPr>
            </w:pPr>
          </w:p>
          <w:p w:rsidR="00916061" w:rsidRDefault="00916061">
            <w:pPr>
              <w:widowControl/>
              <w:jc w:val="left"/>
              <w:rPr>
                <w:rFonts w:ascii="仿宋_GB2312" w:hint="eastAsia"/>
                <w:b/>
                <w:bCs/>
                <w:kern w:val="0"/>
                <w:sz w:val="22"/>
              </w:rPr>
            </w:pPr>
          </w:p>
          <w:p w:rsidR="00916061" w:rsidRDefault="00916061">
            <w:pPr>
              <w:widowControl/>
              <w:jc w:val="left"/>
              <w:rPr>
                <w:rFonts w:ascii="仿宋_GB2312" w:hint="eastAsia"/>
                <w:b/>
                <w:bCs/>
                <w:kern w:val="0"/>
                <w:sz w:val="22"/>
              </w:rPr>
            </w:pPr>
          </w:p>
          <w:p w:rsidR="00916061" w:rsidRDefault="00916061">
            <w:pPr>
              <w:widowControl/>
              <w:jc w:val="left"/>
              <w:rPr>
                <w:rFonts w:ascii="仿宋_GB2312" w:hint="eastAsia"/>
                <w:b/>
                <w:bCs/>
                <w:kern w:val="0"/>
                <w:sz w:val="22"/>
              </w:rPr>
            </w:pPr>
          </w:p>
          <w:p w:rsidR="00916061" w:rsidRDefault="00916061">
            <w:pPr>
              <w:widowControl/>
              <w:jc w:val="left"/>
              <w:rPr>
                <w:rFonts w:ascii="仿宋_GB2312" w:hint="eastAsia"/>
                <w:b/>
                <w:bCs/>
                <w:kern w:val="0"/>
                <w:sz w:val="22"/>
              </w:rPr>
            </w:pPr>
          </w:p>
          <w:p w:rsidR="00916061" w:rsidRDefault="00916061">
            <w:pPr>
              <w:widowControl/>
              <w:jc w:val="left"/>
              <w:rPr>
                <w:rFonts w:ascii="仿宋_GB2312" w:hint="eastAsia"/>
                <w:b/>
                <w:bCs/>
                <w:kern w:val="0"/>
                <w:sz w:val="22"/>
              </w:rPr>
            </w:pPr>
          </w:p>
          <w:p w:rsidR="00916061" w:rsidRDefault="00916061">
            <w:pPr>
              <w:widowControl/>
              <w:jc w:val="left"/>
              <w:rPr>
                <w:rFonts w:ascii="仿宋_GB2312" w:hint="eastAsia"/>
                <w:b/>
                <w:bCs/>
                <w:kern w:val="0"/>
                <w:sz w:val="22"/>
              </w:rPr>
            </w:pPr>
          </w:p>
          <w:p w:rsidR="00916061" w:rsidRDefault="00916061">
            <w:pPr>
              <w:widowControl/>
              <w:jc w:val="left"/>
              <w:rPr>
                <w:rFonts w:ascii="仿宋_GB2312" w:hint="eastAsia"/>
                <w:b/>
                <w:bCs/>
                <w:kern w:val="0"/>
                <w:sz w:val="22"/>
              </w:rPr>
            </w:pPr>
          </w:p>
          <w:p w:rsidR="00916061" w:rsidRDefault="00916061">
            <w:pPr>
              <w:widowControl/>
              <w:jc w:val="left"/>
              <w:rPr>
                <w:rFonts w:ascii="仿宋_GB2312" w:hint="eastAsia"/>
                <w:b/>
                <w:bCs/>
                <w:kern w:val="0"/>
                <w:sz w:val="22"/>
              </w:rPr>
            </w:pPr>
          </w:p>
          <w:tbl>
            <w:tblPr>
              <w:tblW w:w="8991" w:type="dxa"/>
              <w:jc w:val="center"/>
              <w:tblLook w:val="04A0"/>
            </w:tblPr>
            <w:tblGrid>
              <w:gridCol w:w="1443"/>
              <w:gridCol w:w="1781"/>
              <w:gridCol w:w="1901"/>
              <w:gridCol w:w="1600"/>
              <w:gridCol w:w="1481"/>
              <w:gridCol w:w="100"/>
            </w:tblGrid>
            <w:tr w:rsidR="00916061" w:rsidTr="00916061">
              <w:trPr>
                <w:trHeight w:val="1176"/>
                <w:jc w:val="center"/>
              </w:trPr>
              <w:tc>
                <w:tcPr>
                  <w:tcW w:w="8991" w:type="dxa"/>
                  <w:gridSpan w:val="6"/>
                  <w:tcBorders>
                    <w:top w:val="nil"/>
                    <w:left w:val="nil"/>
                    <w:bottom w:val="nil"/>
                    <w:right w:val="nil"/>
                  </w:tcBorders>
                  <w:vAlign w:val="center"/>
                  <w:hideMark/>
                </w:tcPr>
                <w:p w:rsidR="00916061" w:rsidRDefault="00916061">
                  <w:pPr>
                    <w:widowControl/>
                    <w:spacing w:line="600" w:lineRule="exact"/>
                    <w:jc w:val="center"/>
                    <w:rPr>
                      <w:rFonts w:ascii="方正小标宋_GBK" w:hAnsi="宋体" w:cs="宋体"/>
                      <w:kern w:val="0"/>
                      <w:sz w:val="36"/>
                      <w:szCs w:val="36"/>
                    </w:rPr>
                  </w:pPr>
                  <w:r>
                    <w:rPr>
                      <w:rFonts w:ascii="方正小标宋_GBK"/>
                      <w:kern w:val="0"/>
                      <w:sz w:val="36"/>
                      <w:szCs w:val="36"/>
                    </w:rPr>
                    <w:lastRenderedPageBreak/>
                    <w:t>自治区党政机关事业单位工作人员</w:t>
                  </w:r>
                </w:p>
                <w:p w:rsidR="00916061" w:rsidRDefault="00916061">
                  <w:pPr>
                    <w:widowControl/>
                    <w:spacing w:line="600" w:lineRule="exact"/>
                    <w:jc w:val="center"/>
                    <w:rPr>
                      <w:rFonts w:ascii="方正小标宋_GBK" w:eastAsia="宋体" w:hAnsi="宋体" w:cs="宋体"/>
                      <w:kern w:val="0"/>
                      <w:sz w:val="36"/>
                      <w:szCs w:val="36"/>
                    </w:rPr>
                  </w:pPr>
                  <w:r>
                    <w:rPr>
                      <w:rFonts w:ascii="方正小标宋_GBK"/>
                      <w:kern w:val="0"/>
                      <w:sz w:val="36"/>
                      <w:szCs w:val="36"/>
                    </w:rPr>
                    <w:t>差旅住宿费和伙食补助费标准表</w:t>
                  </w:r>
                </w:p>
              </w:tc>
            </w:tr>
            <w:tr w:rsidR="00916061" w:rsidTr="00916061">
              <w:trPr>
                <w:trHeight w:val="479"/>
                <w:jc w:val="center"/>
              </w:trPr>
              <w:tc>
                <w:tcPr>
                  <w:tcW w:w="8991" w:type="dxa"/>
                  <w:gridSpan w:val="6"/>
                  <w:tcBorders>
                    <w:top w:val="nil"/>
                    <w:left w:val="nil"/>
                    <w:bottom w:val="single" w:sz="4" w:space="0" w:color="auto"/>
                    <w:right w:val="nil"/>
                  </w:tcBorders>
                  <w:noWrap/>
                  <w:vAlign w:val="center"/>
                  <w:hideMark/>
                </w:tcPr>
                <w:p w:rsidR="00916061" w:rsidRDefault="00916061">
                  <w:pPr>
                    <w:widowControl/>
                    <w:jc w:val="right"/>
                    <w:rPr>
                      <w:rFonts w:ascii="仿宋_GB2312" w:eastAsia="宋体" w:hAnsi="宋体" w:cs="宋体"/>
                      <w:color w:val="000000"/>
                      <w:kern w:val="0"/>
                      <w:sz w:val="22"/>
                    </w:rPr>
                  </w:pPr>
                  <w:r>
                    <w:rPr>
                      <w:rFonts w:ascii="仿宋_GB2312"/>
                      <w:color w:val="000000"/>
                      <w:kern w:val="0"/>
                      <w:sz w:val="22"/>
                    </w:rPr>
                    <w:t>单位：元</w:t>
                  </w:r>
                </w:p>
              </w:tc>
            </w:tr>
            <w:tr w:rsidR="00916061" w:rsidTr="00916061">
              <w:trPr>
                <w:trHeight w:val="611"/>
                <w:jc w:val="center"/>
              </w:trPr>
              <w:tc>
                <w:tcPr>
                  <w:tcW w:w="1560" w:type="dxa"/>
                  <w:vMerge w:val="restart"/>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省份</w:t>
                  </w:r>
                </w:p>
              </w:tc>
              <w:tc>
                <w:tcPr>
                  <w:tcW w:w="5721" w:type="dxa"/>
                  <w:gridSpan w:val="3"/>
                  <w:tcBorders>
                    <w:top w:val="single" w:sz="4" w:space="0" w:color="auto"/>
                    <w:left w:val="nil"/>
                    <w:bottom w:val="nil"/>
                    <w:right w:val="single" w:sz="4" w:space="0" w:color="000000"/>
                  </w:tcBorders>
                  <w:noWrap/>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住宿费标准</w:t>
                  </w:r>
                </w:p>
              </w:tc>
              <w:tc>
                <w:tcPr>
                  <w:tcW w:w="1710" w:type="dxa"/>
                  <w:gridSpan w:val="2"/>
                  <w:vMerge w:val="restart"/>
                  <w:tcBorders>
                    <w:top w:val="nil"/>
                    <w:left w:val="nil"/>
                    <w:bottom w:val="single" w:sz="4" w:space="0" w:color="000000"/>
                    <w:right w:val="single" w:sz="4" w:space="0" w:color="auto"/>
                  </w:tcBorders>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伙食补助费</w:t>
                  </w:r>
                  <w:r>
                    <w:rPr>
                      <w:rFonts w:ascii="仿宋_GB2312"/>
                      <w:b/>
                      <w:bCs/>
                      <w:kern w:val="0"/>
                      <w:sz w:val="24"/>
                      <w:szCs w:val="24"/>
                    </w:rPr>
                    <w:br/>
                  </w:r>
                  <w:r>
                    <w:rPr>
                      <w:rFonts w:ascii="仿宋_GB2312"/>
                      <w:b/>
                      <w:bCs/>
                      <w:kern w:val="0"/>
                      <w:sz w:val="24"/>
                      <w:szCs w:val="24"/>
                    </w:rPr>
                    <w:t>标准</w:t>
                  </w:r>
                </w:p>
              </w:tc>
            </w:tr>
            <w:tr w:rsidR="00916061" w:rsidTr="00916061">
              <w:trPr>
                <w:trHeight w:val="819"/>
                <w:jc w:val="center"/>
              </w:trPr>
              <w:tc>
                <w:tcPr>
                  <w:tcW w:w="8991" w:type="dxa"/>
                  <w:vMerge/>
                  <w:tcBorders>
                    <w:top w:val="nil"/>
                    <w:left w:val="single" w:sz="4" w:space="0" w:color="auto"/>
                    <w:bottom w:val="single" w:sz="4" w:space="0" w:color="auto"/>
                    <w:right w:val="single" w:sz="4" w:space="0" w:color="auto"/>
                  </w:tcBorders>
                  <w:vAlign w:val="center"/>
                  <w:hideMark/>
                </w:tcPr>
                <w:p w:rsidR="00916061" w:rsidRDefault="00916061">
                  <w:pPr>
                    <w:widowControl/>
                    <w:jc w:val="left"/>
                    <w:rPr>
                      <w:rFonts w:ascii="仿宋_GB2312" w:eastAsia="宋体" w:hAnsi="宋体" w:cs="宋体"/>
                      <w:b/>
                      <w:bCs/>
                      <w:kern w:val="0"/>
                      <w:sz w:val="24"/>
                      <w:szCs w:val="24"/>
                    </w:rPr>
                  </w:pPr>
                </w:p>
              </w:tc>
              <w:tc>
                <w:tcPr>
                  <w:tcW w:w="1929" w:type="dxa"/>
                  <w:tcBorders>
                    <w:top w:val="single" w:sz="4" w:space="0" w:color="auto"/>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部级</w:t>
                  </w:r>
                  <w:r>
                    <w:rPr>
                      <w:rFonts w:ascii="仿宋_GB2312"/>
                      <w:b/>
                      <w:bCs/>
                      <w:kern w:val="0"/>
                      <w:sz w:val="24"/>
                      <w:szCs w:val="24"/>
                    </w:rPr>
                    <w:t>(</w:t>
                  </w:r>
                  <w:r>
                    <w:rPr>
                      <w:rFonts w:ascii="仿宋_GB2312"/>
                      <w:b/>
                      <w:bCs/>
                      <w:kern w:val="0"/>
                      <w:sz w:val="24"/>
                      <w:szCs w:val="24"/>
                    </w:rPr>
                    <w:t>普通套间</w:t>
                  </w:r>
                  <w:r>
                    <w:rPr>
                      <w:rFonts w:ascii="仿宋_GB2312"/>
                      <w:b/>
                      <w:bCs/>
                      <w:kern w:val="0"/>
                      <w:sz w:val="24"/>
                      <w:szCs w:val="24"/>
                    </w:rPr>
                    <w:t>)</w:t>
                  </w:r>
                </w:p>
              </w:tc>
              <w:tc>
                <w:tcPr>
                  <w:tcW w:w="2061" w:type="dxa"/>
                  <w:tcBorders>
                    <w:top w:val="single" w:sz="4" w:space="0" w:color="auto"/>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司局级（单间或</w:t>
                  </w:r>
                  <w:r>
                    <w:rPr>
                      <w:rFonts w:ascii="仿宋_GB2312"/>
                      <w:b/>
                      <w:bCs/>
                      <w:kern w:val="0"/>
                      <w:sz w:val="24"/>
                      <w:szCs w:val="24"/>
                    </w:rPr>
                    <w:br/>
                  </w:r>
                  <w:r>
                    <w:rPr>
                      <w:rFonts w:ascii="仿宋_GB2312"/>
                      <w:b/>
                      <w:bCs/>
                      <w:kern w:val="0"/>
                      <w:sz w:val="24"/>
                      <w:szCs w:val="24"/>
                    </w:rPr>
                    <w:t>标准间）</w:t>
                  </w:r>
                </w:p>
              </w:tc>
              <w:tc>
                <w:tcPr>
                  <w:tcW w:w="1731" w:type="dxa"/>
                  <w:tcBorders>
                    <w:top w:val="single" w:sz="4" w:space="0" w:color="auto"/>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其他人员（单间或标准间）</w:t>
                  </w:r>
                </w:p>
              </w:tc>
              <w:tc>
                <w:tcPr>
                  <w:tcW w:w="1854" w:type="dxa"/>
                  <w:gridSpan w:val="2"/>
                  <w:vMerge/>
                  <w:tcBorders>
                    <w:top w:val="single" w:sz="4" w:space="0" w:color="auto"/>
                    <w:left w:val="nil"/>
                    <w:bottom w:val="single" w:sz="4" w:space="0" w:color="auto"/>
                    <w:right w:val="single" w:sz="4" w:space="0" w:color="auto"/>
                  </w:tcBorders>
                  <w:vAlign w:val="center"/>
                  <w:hideMark/>
                </w:tcPr>
                <w:p w:rsidR="00916061" w:rsidRDefault="00916061">
                  <w:pPr>
                    <w:widowControl/>
                    <w:jc w:val="left"/>
                    <w:rPr>
                      <w:rFonts w:ascii="仿宋_GB2312" w:eastAsia="宋体" w:hAnsi="宋体" w:cs="宋体"/>
                      <w:b/>
                      <w:bCs/>
                      <w:kern w:val="0"/>
                      <w:sz w:val="24"/>
                      <w:szCs w:val="24"/>
                    </w:rPr>
                  </w:pP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北京</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500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350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天津</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450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320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河北</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450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310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山西</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480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310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内蒙古</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460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320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辽宁</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480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330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大连</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490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340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吉林</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450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310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黑龙江</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450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310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上海</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500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350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江苏</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490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340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浙江</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490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340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宁波</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450</w:t>
                  </w:r>
                </w:p>
              </w:tc>
              <w:tc>
                <w:tcPr>
                  <w:tcW w:w="1731" w:type="dxa"/>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330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安徽</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460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310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福建</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480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330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厦门</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490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340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江西</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470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320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5"/>
                <w:jc w:val="center"/>
              </w:trPr>
              <w:tc>
                <w:tcPr>
                  <w:tcW w:w="1560" w:type="dxa"/>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山东</w:t>
                  </w:r>
                </w:p>
              </w:tc>
              <w:tc>
                <w:tcPr>
                  <w:tcW w:w="1929"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480</w:t>
                  </w:r>
                </w:p>
              </w:tc>
              <w:tc>
                <w:tcPr>
                  <w:tcW w:w="1731" w:type="dxa"/>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330</w:t>
                  </w:r>
                </w:p>
              </w:tc>
              <w:tc>
                <w:tcPr>
                  <w:tcW w:w="1710" w:type="dxa"/>
                  <w:gridSpan w:val="2"/>
                  <w:tcBorders>
                    <w:top w:val="nil"/>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06"/>
                <w:jc w:val="center"/>
              </w:trPr>
              <w:tc>
                <w:tcPr>
                  <w:tcW w:w="1560" w:type="dxa"/>
                  <w:vMerge w:val="restart"/>
                  <w:tcBorders>
                    <w:top w:val="nil"/>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省份</w:t>
                  </w:r>
                </w:p>
              </w:tc>
              <w:tc>
                <w:tcPr>
                  <w:tcW w:w="5721" w:type="dxa"/>
                  <w:gridSpan w:val="3"/>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住宿费标准</w:t>
                  </w:r>
                </w:p>
              </w:tc>
              <w:tc>
                <w:tcPr>
                  <w:tcW w:w="1710" w:type="dxa"/>
                  <w:gridSpan w:val="2"/>
                  <w:vMerge w:val="restart"/>
                  <w:tcBorders>
                    <w:top w:val="nil"/>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伙食补助费</w:t>
                  </w:r>
                  <w:r>
                    <w:rPr>
                      <w:rFonts w:ascii="仿宋_GB2312"/>
                      <w:b/>
                      <w:bCs/>
                      <w:kern w:val="0"/>
                      <w:sz w:val="24"/>
                      <w:szCs w:val="24"/>
                    </w:rPr>
                    <w:br/>
                  </w:r>
                  <w:r>
                    <w:rPr>
                      <w:rFonts w:ascii="仿宋_GB2312"/>
                      <w:b/>
                      <w:bCs/>
                      <w:kern w:val="0"/>
                      <w:sz w:val="24"/>
                      <w:szCs w:val="24"/>
                    </w:rPr>
                    <w:t>标准</w:t>
                  </w:r>
                </w:p>
              </w:tc>
            </w:tr>
            <w:tr w:rsidR="00916061" w:rsidTr="00916061">
              <w:trPr>
                <w:trHeight w:val="814"/>
                <w:jc w:val="center"/>
              </w:trPr>
              <w:tc>
                <w:tcPr>
                  <w:tcW w:w="8991" w:type="dxa"/>
                  <w:vMerge/>
                  <w:tcBorders>
                    <w:top w:val="nil"/>
                    <w:left w:val="single" w:sz="4" w:space="0" w:color="auto"/>
                    <w:bottom w:val="single" w:sz="4" w:space="0" w:color="auto"/>
                    <w:right w:val="single" w:sz="4" w:space="0" w:color="auto"/>
                  </w:tcBorders>
                  <w:vAlign w:val="center"/>
                  <w:hideMark/>
                </w:tcPr>
                <w:p w:rsidR="00916061" w:rsidRDefault="00916061">
                  <w:pPr>
                    <w:widowControl/>
                    <w:jc w:val="left"/>
                    <w:rPr>
                      <w:rFonts w:ascii="仿宋_GB2312" w:eastAsia="宋体" w:hAnsi="宋体" w:cs="宋体"/>
                      <w:b/>
                      <w:bCs/>
                      <w:kern w:val="0"/>
                      <w:sz w:val="24"/>
                      <w:szCs w:val="24"/>
                    </w:rPr>
                  </w:pPr>
                </w:p>
              </w:tc>
              <w:tc>
                <w:tcPr>
                  <w:tcW w:w="1929" w:type="dxa"/>
                  <w:tcBorders>
                    <w:top w:val="single" w:sz="4" w:space="0" w:color="auto"/>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部级</w:t>
                  </w:r>
                  <w:r>
                    <w:rPr>
                      <w:rFonts w:ascii="仿宋_GB2312"/>
                      <w:b/>
                      <w:bCs/>
                      <w:kern w:val="0"/>
                      <w:sz w:val="24"/>
                      <w:szCs w:val="24"/>
                    </w:rPr>
                    <w:t>(</w:t>
                  </w:r>
                  <w:r>
                    <w:rPr>
                      <w:rFonts w:ascii="仿宋_GB2312"/>
                      <w:b/>
                      <w:bCs/>
                      <w:kern w:val="0"/>
                      <w:sz w:val="24"/>
                      <w:szCs w:val="24"/>
                    </w:rPr>
                    <w:t>普通套间</w:t>
                  </w:r>
                  <w:r>
                    <w:rPr>
                      <w:rFonts w:ascii="仿宋_GB2312"/>
                      <w:b/>
                      <w:bCs/>
                      <w:kern w:val="0"/>
                      <w:sz w:val="24"/>
                      <w:szCs w:val="24"/>
                    </w:rPr>
                    <w:t>)</w:t>
                  </w:r>
                </w:p>
              </w:tc>
              <w:tc>
                <w:tcPr>
                  <w:tcW w:w="2061" w:type="dxa"/>
                  <w:tcBorders>
                    <w:top w:val="single" w:sz="4" w:space="0" w:color="auto"/>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司局级（单间或</w:t>
                  </w:r>
                  <w:r>
                    <w:rPr>
                      <w:rFonts w:ascii="仿宋_GB2312"/>
                      <w:b/>
                      <w:bCs/>
                      <w:kern w:val="0"/>
                      <w:sz w:val="24"/>
                      <w:szCs w:val="24"/>
                    </w:rPr>
                    <w:br/>
                  </w:r>
                  <w:r>
                    <w:rPr>
                      <w:rFonts w:ascii="仿宋_GB2312"/>
                      <w:b/>
                      <w:bCs/>
                      <w:kern w:val="0"/>
                      <w:sz w:val="24"/>
                      <w:szCs w:val="24"/>
                    </w:rPr>
                    <w:t>标准间）</w:t>
                  </w:r>
                </w:p>
              </w:tc>
              <w:tc>
                <w:tcPr>
                  <w:tcW w:w="1731" w:type="dxa"/>
                  <w:tcBorders>
                    <w:top w:val="single" w:sz="4" w:space="0" w:color="auto"/>
                    <w:left w:val="nil"/>
                    <w:bottom w:val="single" w:sz="4" w:space="0" w:color="auto"/>
                    <w:right w:val="single" w:sz="4" w:space="0" w:color="auto"/>
                  </w:tcBorders>
                  <w:vAlign w:val="center"/>
                  <w:hideMark/>
                </w:tcPr>
                <w:p w:rsidR="00916061" w:rsidRDefault="00916061">
                  <w:pPr>
                    <w:widowControl/>
                    <w:jc w:val="center"/>
                    <w:rPr>
                      <w:rFonts w:ascii="仿宋_GB2312" w:eastAsia="宋体" w:hAnsi="宋体" w:cs="宋体"/>
                      <w:b/>
                      <w:bCs/>
                      <w:kern w:val="0"/>
                      <w:sz w:val="24"/>
                      <w:szCs w:val="24"/>
                    </w:rPr>
                  </w:pPr>
                  <w:r>
                    <w:rPr>
                      <w:rFonts w:ascii="仿宋_GB2312"/>
                      <w:b/>
                      <w:bCs/>
                      <w:kern w:val="0"/>
                      <w:sz w:val="24"/>
                      <w:szCs w:val="24"/>
                    </w:rPr>
                    <w:t>其他人员（单间或标准间）</w:t>
                  </w:r>
                </w:p>
              </w:tc>
              <w:tc>
                <w:tcPr>
                  <w:tcW w:w="1854" w:type="dxa"/>
                  <w:gridSpan w:val="2"/>
                  <w:vMerge/>
                  <w:tcBorders>
                    <w:top w:val="single" w:sz="4" w:space="0" w:color="auto"/>
                    <w:left w:val="nil"/>
                    <w:bottom w:val="single" w:sz="4" w:space="0" w:color="auto"/>
                    <w:right w:val="single" w:sz="4" w:space="0" w:color="auto"/>
                  </w:tcBorders>
                  <w:vAlign w:val="center"/>
                  <w:hideMark/>
                </w:tcPr>
                <w:p w:rsidR="00916061" w:rsidRDefault="00916061">
                  <w:pPr>
                    <w:widowControl/>
                    <w:jc w:val="left"/>
                    <w:rPr>
                      <w:rFonts w:ascii="仿宋_GB2312" w:eastAsia="宋体" w:hAnsi="宋体" w:cs="宋体"/>
                      <w:b/>
                      <w:bCs/>
                      <w:kern w:val="0"/>
                      <w:sz w:val="24"/>
                      <w:szCs w:val="24"/>
                    </w:rPr>
                  </w:pP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lastRenderedPageBreak/>
                    <w:t>青岛</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490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340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河南</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480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330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湖北</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480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320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湖南</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450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330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广东</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490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340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深圳</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500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350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广西</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470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330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海南</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500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350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重庆</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480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330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四川</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470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320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贵州</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470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320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云南</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480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330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西藏</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500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350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120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陕西</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460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320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甘肃</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470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330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青海</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500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350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120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宁夏</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470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330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100</w:t>
                  </w:r>
                </w:p>
              </w:tc>
            </w:tr>
            <w:tr w:rsidR="00916061" w:rsidTr="00916061">
              <w:trPr>
                <w:trHeight w:val="511"/>
                <w:jc w:val="center"/>
              </w:trPr>
              <w:tc>
                <w:tcPr>
                  <w:tcW w:w="1560" w:type="dxa"/>
                  <w:tcBorders>
                    <w:top w:val="single" w:sz="4" w:space="0" w:color="auto"/>
                    <w:left w:val="single" w:sz="4" w:space="0" w:color="auto"/>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新疆</w:t>
                  </w:r>
                </w:p>
              </w:tc>
              <w:tc>
                <w:tcPr>
                  <w:tcW w:w="1929"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800</w:t>
                  </w:r>
                </w:p>
              </w:tc>
              <w:tc>
                <w:tcPr>
                  <w:tcW w:w="206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480</w:t>
                  </w:r>
                </w:p>
              </w:tc>
              <w:tc>
                <w:tcPr>
                  <w:tcW w:w="1731" w:type="dxa"/>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kern w:val="0"/>
                      <w:sz w:val="22"/>
                    </w:rPr>
                  </w:pPr>
                  <w:r>
                    <w:rPr>
                      <w:rFonts w:ascii="仿宋_GB2312"/>
                      <w:kern w:val="0"/>
                      <w:sz w:val="22"/>
                    </w:rPr>
                    <w:t>340</w:t>
                  </w:r>
                </w:p>
              </w:tc>
              <w:tc>
                <w:tcPr>
                  <w:tcW w:w="1710" w:type="dxa"/>
                  <w:gridSpan w:val="2"/>
                  <w:tcBorders>
                    <w:top w:val="single" w:sz="4" w:space="0" w:color="auto"/>
                    <w:left w:val="nil"/>
                    <w:bottom w:val="single" w:sz="4" w:space="0" w:color="auto"/>
                    <w:right w:val="single" w:sz="4" w:space="0" w:color="auto"/>
                  </w:tcBorders>
                  <w:noWrap/>
                  <w:vAlign w:val="center"/>
                  <w:hideMark/>
                </w:tcPr>
                <w:p w:rsidR="00916061" w:rsidRDefault="00916061">
                  <w:pPr>
                    <w:widowControl/>
                    <w:jc w:val="center"/>
                    <w:rPr>
                      <w:rFonts w:ascii="仿宋_GB2312" w:eastAsia="宋体" w:hAnsi="宋体" w:cs="宋体"/>
                      <w:color w:val="000000"/>
                      <w:kern w:val="0"/>
                      <w:sz w:val="22"/>
                    </w:rPr>
                  </w:pPr>
                  <w:r>
                    <w:rPr>
                      <w:rFonts w:ascii="仿宋_GB2312"/>
                      <w:color w:val="000000"/>
                      <w:kern w:val="0"/>
                      <w:sz w:val="22"/>
                    </w:rPr>
                    <w:t>120</w:t>
                  </w:r>
                </w:p>
              </w:tc>
            </w:tr>
            <w:tr w:rsidR="00916061" w:rsidTr="00916061">
              <w:trPr>
                <w:gridAfter w:val="1"/>
                <w:wAfter w:w="109" w:type="dxa"/>
                <w:trHeight w:val="511"/>
                <w:jc w:val="center"/>
              </w:trPr>
              <w:tc>
                <w:tcPr>
                  <w:tcW w:w="8882" w:type="dxa"/>
                  <w:gridSpan w:val="5"/>
                  <w:tcBorders>
                    <w:top w:val="nil"/>
                    <w:left w:val="nil"/>
                    <w:bottom w:val="nil"/>
                    <w:right w:val="nil"/>
                  </w:tcBorders>
                  <w:noWrap/>
                  <w:vAlign w:val="center"/>
                  <w:hideMark/>
                </w:tcPr>
                <w:p w:rsidR="00916061" w:rsidRDefault="00916061">
                  <w:pPr>
                    <w:widowControl/>
                    <w:rPr>
                      <w:rFonts w:ascii="仿宋_GB2312" w:eastAsia="宋体" w:hAnsi="宋体" w:cs="宋体"/>
                      <w:b/>
                      <w:bCs/>
                      <w:color w:val="000000"/>
                      <w:kern w:val="0"/>
                      <w:sz w:val="22"/>
                    </w:rPr>
                  </w:pPr>
                  <w:r>
                    <w:rPr>
                      <w:rFonts w:ascii="仿宋_GB2312"/>
                      <w:b/>
                      <w:bCs/>
                      <w:color w:val="000000"/>
                      <w:kern w:val="0"/>
                      <w:sz w:val="22"/>
                    </w:rPr>
                    <w:t>说明：住宿费据实结算，但不得超过上限。</w:t>
                  </w:r>
                </w:p>
              </w:tc>
            </w:tr>
          </w:tbl>
          <w:p w:rsidR="00916061" w:rsidRDefault="00916061" w:rsidP="00916061">
            <w:pPr>
              <w:rPr>
                <w:rFonts w:ascii="仿宋_GB2312" w:hAnsi="Uighursoft Times New Roman"/>
                <w:sz w:val="32"/>
                <w:szCs w:val="32"/>
              </w:rPr>
            </w:pPr>
            <w:r>
              <w:rPr>
                <w:rFonts w:ascii="仿宋_GB2312" w:hAnsi="Uighursoft Times New Roman"/>
                <w:sz w:val="32"/>
                <w:szCs w:val="32"/>
              </w:rPr>
              <w:t xml:space="preserve"> </w:t>
            </w:r>
          </w:p>
          <w:p w:rsidR="00916061" w:rsidRPr="00916061" w:rsidRDefault="00916061">
            <w:pPr>
              <w:widowControl/>
              <w:jc w:val="left"/>
              <w:rPr>
                <w:rFonts w:ascii="仿宋_GB2312" w:eastAsia="宋体" w:hAnsi="宋体" w:cs="宋体"/>
                <w:b/>
                <w:bCs/>
                <w:kern w:val="0"/>
                <w:sz w:val="22"/>
              </w:rPr>
            </w:pPr>
          </w:p>
        </w:tc>
      </w:tr>
    </w:tbl>
    <w:p w:rsidR="00916061" w:rsidRPr="00916061" w:rsidRDefault="00916061"/>
    <w:sectPr w:rsidR="00916061" w:rsidRPr="00916061" w:rsidSect="006B3B4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_GBK">
    <w:altName w:val="Times New Roman"/>
    <w:charset w:val="00"/>
    <w:family w:val="auto"/>
    <w:pitch w:val="default"/>
    <w:sig w:usb0="00000000" w:usb1="00000000" w:usb2="00000000" w:usb3="00000000" w:csb0="00000000" w:csb1="00000000"/>
  </w:font>
  <w:font w:name="仿宋_GB2312">
    <w:altName w:val="Times New Roman"/>
    <w:charset w:val="00"/>
    <w:family w:val="auto"/>
    <w:pitch w:val="default"/>
    <w:sig w:usb0="00000000" w:usb1="00000000" w:usb2="00000000" w:usb3="00000000" w:csb0="00000000" w:csb1="00000000"/>
  </w:font>
  <w:font w:name="Uighursoft 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6061"/>
    <w:rsid w:val="006B3B49"/>
    <w:rsid w:val="00916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B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606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6061"/>
  </w:style>
  <w:style w:type="paragraph" w:styleId="a4">
    <w:name w:val="Balloon Text"/>
    <w:basedOn w:val="a"/>
    <w:link w:val="Char"/>
    <w:uiPriority w:val="99"/>
    <w:semiHidden/>
    <w:unhideWhenUsed/>
    <w:rsid w:val="00916061"/>
    <w:rPr>
      <w:sz w:val="18"/>
      <w:szCs w:val="18"/>
    </w:rPr>
  </w:style>
  <w:style w:type="character" w:customStyle="1" w:styleId="Char">
    <w:name w:val="批注框文本 Char"/>
    <w:basedOn w:val="a0"/>
    <w:link w:val="a4"/>
    <w:uiPriority w:val="99"/>
    <w:semiHidden/>
    <w:rsid w:val="00916061"/>
    <w:rPr>
      <w:sz w:val="18"/>
      <w:szCs w:val="18"/>
    </w:rPr>
  </w:style>
</w:styles>
</file>

<file path=word/webSettings.xml><?xml version="1.0" encoding="utf-8"?>
<w:webSettings xmlns:r="http://schemas.openxmlformats.org/officeDocument/2006/relationships" xmlns:w="http://schemas.openxmlformats.org/wordprocessingml/2006/main">
  <w:divs>
    <w:div w:id="36512300">
      <w:bodyDiv w:val="1"/>
      <w:marLeft w:val="0"/>
      <w:marRight w:val="0"/>
      <w:marTop w:val="0"/>
      <w:marBottom w:val="0"/>
      <w:divBdr>
        <w:top w:val="none" w:sz="0" w:space="0" w:color="auto"/>
        <w:left w:val="none" w:sz="0" w:space="0" w:color="auto"/>
        <w:bottom w:val="none" w:sz="0" w:space="0" w:color="auto"/>
        <w:right w:val="none" w:sz="0" w:space="0" w:color="auto"/>
      </w:divBdr>
    </w:div>
    <w:div w:id="1027175516">
      <w:bodyDiv w:val="1"/>
      <w:marLeft w:val="0"/>
      <w:marRight w:val="0"/>
      <w:marTop w:val="0"/>
      <w:marBottom w:val="0"/>
      <w:divBdr>
        <w:top w:val="none" w:sz="0" w:space="0" w:color="auto"/>
        <w:left w:val="none" w:sz="0" w:space="0" w:color="auto"/>
        <w:bottom w:val="none" w:sz="0" w:space="0" w:color="auto"/>
        <w:right w:val="none" w:sz="0" w:space="0" w:color="auto"/>
      </w:divBdr>
    </w:div>
    <w:div w:id="140418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翟少勇</dc:creator>
  <cp:lastModifiedBy>翟少勇</cp:lastModifiedBy>
  <cp:revision>1</cp:revision>
  <dcterms:created xsi:type="dcterms:W3CDTF">2018-06-14T11:08:00Z</dcterms:created>
  <dcterms:modified xsi:type="dcterms:W3CDTF">2018-06-14T11:12:00Z</dcterms:modified>
</cp:coreProperties>
</file>